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AC" w:rsidRDefault="001124AC">
      <w:pPr>
        <w:pStyle w:val="Title"/>
        <w:rPr>
          <w:color w:val="002060"/>
        </w:rPr>
      </w:pPr>
    </w:p>
    <w:p w:rsidR="00CF3A41" w:rsidRPr="009A2CFF" w:rsidRDefault="00FF5E18">
      <w:pPr>
        <w:pStyle w:val="Title"/>
        <w:rPr>
          <w:color w:val="002060"/>
        </w:rPr>
      </w:pPr>
      <w:r w:rsidRPr="009A2CFF">
        <w:rPr>
          <w:color w:val="002060"/>
        </w:rPr>
        <w:t>COURT GUARDIANSHIP MONITORING PROGRAM</w:t>
      </w:r>
    </w:p>
    <w:p w:rsidR="00C851FB" w:rsidRDefault="001B6ADC" w:rsidP="00C851FB">
      <w:pPr>
        <w:pStyle w:val="Subtitle"/>
        <w:spacing w:after="0"/>
        <w:rPr>
          <w:color w:val="000000" w:themeColor="text1"/>
        </w:rPr>
      </w:pPr>
      <w:r>
        <w:rPr>
          <w:color w:val="000000" w:themeColor="text1"/>
        </w:rPr>
        <w:t>Twentieth Judicial Circuit, Charlotte</w:t>
      </w:r>
      <w:r w:rsidR="00FF5E18" w:rsidRPr="009A2CFF">
        <w:rPr>
          <w:color w:val="000000" w:themeColor="text1"/>
        </w:rPr>
        <w:t xml:space="preserve"> County</w:t>
      </w:r>
    </w:p>
    <w:p w:rsidR="00C851FB" w:rsidRPr="00C851FB" w:rsidRDefault="00C851FB" w:rsidP="00C851FB">
      <w:r>
        <w:t>Updated January 17, 2019</w:t>
      </w:r>
    </w:p>
    <w:p w:rsidR="00CF3A41" w:rsidRDefault="001B6ADC">
      <w:pPr>
        <w:pStyle w:val="Heading1"/>
      </w:pPr>
      <w:r w:rsidRPr="009A2CFF">
        <w:rPr>
          <w:noProof/>
          <w:color w:val="000000" w:themeColor="text1"/>
          <w:lang w:eastAsia="en-US"/>
        </w:rPr>
        <mc:AlternateContent>
          <mc:Choice Requires="wps">
            <w:drawing>
              <wp:anchor distT="182880" distB="182880" distL="274320" distR="274320" simplePos="0" relativeHeight="251659264" behindDoc="0" locked="0" layoutInCell="1" allowOverlap="0" wp14:anchorId="1237C893" wp14:editId="01167218">
                <wp:simplePos x="0" y="0"/>
                <wp:positionH relativeFrom="margin">
                  <wp:posOffset>-55880</wp:posOffset>
                </wp:positionH>
                <wp:positionV relativeFrom="paragraph">
                  <wp:posOffset>115570</wp:posOffset>
                </wp:positionV>
                <wp:extent cx="2249805" cy="4953000"/>
                <wp:effectExtent l="0" t="0" r="17145" b="19050"/>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249805" cy="49530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1B6ADC" w:rsidRDefault="001B6ADC"/>
                          <w:p w:rsidR="001B6ADC" w:rsidRDefault="001B6ADC"/>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CF3A41" w:rsidTr="008214C6">
                              <w:trPr>
                                <w:trHeight w:hRule="exact" w:val="5688"/>
                              </w:trPr>
                              <w:tc>
                                <w:tcPr>
                                  <w:tcW w:w="3518" w:type="dxa"/>
                                  <w:shd w:val="clear" w:color="auto" w:fill="E76A1D" w:themeFill="accent1"/>
                                  <w:tcMar>
                                    <w:top w:w="288" w:type="dxa"/>
                                    <w:bottom w:w="288" w:type="dxa"/>
                                  </w:tcMar>
                                </w:tcPr>
                                <w:p w:rsidR="00CF3A41" w:rsidRPr="008214C6" w:rsidRDefault="008214C6" w:rsidP="009A2CFF">
                                  <w:pPr>
                                    <w:pStyle w:val="BlockHeading"/>
                                    <w:jc w:val="center"/>
                                    <w:rPr>
                                      <w:sz w:val="27"/>
                                      <w:szCs w:val="27"/>
                                    </w:rPr>
                                  </w:pPr>
                                  <w:r w:rsidRPr="008214C6">
                                    <w:rPr>
                                      <w:sz w:val="27"/>
                                      <w:szCs w:val="27"/>
                                    </w:rPr>
                                    <w:t>program overview</w:t>
                                  </w:r>
                                </w:p>
                                <w:p w:rsidR="00FF5E18" w:rsidRDefault="00FF5E18" w:rsidP="00FF5E18">
                                  <w:pPr>
                                    <w:pStyle w:val="BlockText"/>
                                  </w:pPr>
                                </w:p>
                                <w:p w:rsidR="001B6ADC" w:rsidRDefault="001B6ADC" w:rsidP="00FF5E18">
                                  <w:pPr>
                                    <w:pStyle w:val="BlockText"/>
                                  </w:pPr>
                                </w:p>
                                <w:p w:rsidR="00FF5E18" w:rsidRDefault="00FA26B2" w:rsidP="009A2CFF">
                                  <w:pPr>
                                    <w:pStyle w:val="BlockText"/>
                                    <w:spacing w:after="240"/>
                                    <w:ind w:left="144" w:right="144"/>
                                    <w:jc w:val="both"/>
                                    <w:rPr>
                                      <w:rFonts w:ascii="Arial" w:hAnsi="Arial" w:cs="Arial"/>
                                      <w:sz w:val="24"/>
                                      <w:szCs w:val="24"/>
                                    </w:rPr>
                                  </w:pPr>
                                  <w:r w:rsidRPr="008214C6">
                                    <w:rPr>
                                      <w:rFonts w:ascii="Arial" w:hAnsi="Arial" w:cs="Arial"/>
                                      <w:sz w:val="24"/>
                                      <w:szCs w:val="24"/>
                                    </w:rPr>
                                    <w:t>The Guardianship Monitoring Pro</w:t>
                                  </w:r>
                                  <w:r w:rsidR="001B6ADC">
                                    <w:rPr>
                                      <w:rFonts w:ascii="Arial" w:hAnsi="Arial" w:cs="Arial"/>
                                      <w:sz w:val="24"/>
                                      <w:szCs w:val="24"/>
                                    </w:rPr>
                                    <w:t>gram was established in Charlotte</w:t>
                                  </w:r>
                                  <w:r w:rsidR="00B77AAC" w:rsidRPr="008214C6">
                                    <w:rPr>
                                      <w:rFonts w:ascii="Arial" w:hAnsi="Arial" w:cs="Arial"/>
                                      <w:sz w:val="24"/>
                                      <w:szCs w:val="24"/>
                                    </w:rPr>
                                    <w:t xml:space="preserve"> County</w:t>
                                  </w:r>
                                  <w:r w:rsidRPr="008214C6">
                                    <w:rPr>
                                      <w:rFonts w:ascii="Arial" w:hAnsi="Arial" w:cs="Arial"/>
                                      <w:sz w:val="24"/>
                                      <w:szCs w:val="24"/>
                                    </w:rPr>
                                    <w:t xml:space="preserve"> to ensure </w:t>
                                  </w:r>
                                  <w:r w:rsidR="00B77AAC" w:rsidRPr="008214C6">
                                    <w:rPr>
                                      <w:rFonts w:ascii="Arial" w:hAnsi="Arial" w:cs="Arial"/>
                                      <w:sz w:val="24"/>
                                      <w:szCs w:val="24"/>
                                    </w:rPr>
                                    <w:t>that all court-appointed guardians adhere to the State of Florida guardianship law</w:t>
                                  </w:r>
                                  <w:r w:rsidR="001B6ADC">
                                    <w:rPr>
                                      <w:rFonts w:ascii="Arial" w:hAnsi="Arial" w:cs="Arial"/>
                                      <w:sz w:val="24"/>
                                      <w:szCs w:val="24"/>
                                    </w:rPr>
                                    <w:t>s</w:t>
                                  </w:r>
                                  <w:r w:rsidR="00B77AAC" w:rsidRPr="008214C6">
                                    <w:rPr>
                                      <w:rFonts w:ascii="Arial" w:hAnsi="Arial" w:cs="Arial"/>
                                      <w:sz w:val="24"/>
                                      <w:szCs w:val="24"/>
                                    </w:rPr>
                                    <w:t xml:space="preserve"> by </w:t>
                                  </w:r>
                                  <w:r w:rsidR="001B6ADC">
                                    <w:rPr>
                                      <w:rFonts w:ascii="Arial" w:hAnsi="Arial" w:cs="Arial"/>
                                      <w:sz w:val="24"/>
                                      <w:szCs w:val="24"/>
                                    </w:rPr>
                                    <w:t xml:space="preserve">meeting </w:t>
                                  </w:r>
                                  <w:r w:rsidR="00B77AAC" w:rsidRPr="008214C6">
                                    <w:rPr>
                                      <w:rFonts w:ascii="Arial" w:hAnsi="Arial" w:cs="Arial"/>
                                      <w:sz w:val="24"/>
                                      <w:szCs w:val="24"/>
                                    </w:rPr>
                                    <w:t>filing deadlines and providing the most appropriate level of personal and/or financial care to their wards.</w:t>
                                  </w:r>
                                </w:p>
                                <w:p w:rsidR="001B6ADC" w:rsidRDefault="001B6ADC" w:rsidP="009A2CFF">
                                  <w:pPr>
                                    <w:pStyle w:val="BlockText"/>
                                    <w:spacing w:after="240"/>
                                    <w:ind w:left="144" w:right="144"/>
                                    <w:jc w:val="both"/>
                                    <w:rPr>
                                      <w:rFonts w:ascii="Arial" w:hAnsi="Arial" w:cs="Arial"/>
                                      <w:sz w:val="24"/>
                                      <w:szCs w:val="24"/>
                                    </w:rPr>
                                  </w:pPr>
                                </w:p>
                                <w:p w:rsidR="001B6ADC" w:rsidRDefault="001B6ADC" w:rsidP="009A2CFF">
                                  <w:pPr>
                                    <w:pStyle w:val="BlockText"/>
                                    <w:spacing w:after="240"/>
                                    <w:ind w:left="144" w:right="144"/>
                                    <w:jc w:val="both"/>
                                    <w:rPr>
                                      <w:rFonts w:ascii="Arial" w:hAnsi="Arial" w:cs="Arial"/>
                                      <w:sz w:val="24"/>
                                      <w:szCs w:val="24"/>
                                    </w:rPr>
                                  </w:pPr>
                                </w:p>
                                <w:p w:rsidR="001B6ADC" w:rsidRPr="008214C6" w:rsidRDefault="001B6ADC" w:rsidP="009A2CFF">
                                  <w:pPr>
                                    <w:pStyle w:val="BlockText"/>
                                    <w:spacing w:after="240"/>
                                    <w:ind w:left="144" w:right="144"/>
                                    <w:jc w:val="both"/>
                                    <w:rPr>
                                      <w:rFonts w:ascii="Arial" w:hAnsi="Arial" w:cs="Arial"/>
                                      <w:sz w:val="24"/>
                                      <w:szCs w:val="24"/>
                                    </w:rPr>
                                  </w:pPr>
                                </w:p>
                                <w:p w:rsidR="00CF3A41" w:rsidRDefault="00CF3A41">
                                  <w:pPr>
                                    <w:pStyle w:val="BlockText"/>
                                  </w:pPr>
                                </w:p>
                                <w:p w:rsidR="001B6ADC" w:rsidRDefault="001B6ADC">
                                  <w:pPr>
                                    <w:pStyle w:val="BlockText"/>
                                  </w:pPr>
                                </w:p>
                                <w:p w:rsidR="001B6ADC" w:rsidRDefault="001B6ADC">
                                  <w:pPr>
                                    <w:pStyle w:val="BlockText"/>
                                  </w:pPr>
                                </w:p>
                                <w:p w:rsidR="001B6ADC" w:rsidRDefault="001B6ADC">
                                  <w:pPr>
                                    <w:pStyle w:val="BlockText"/>
                                  </w:pPr>
                                </w:p>
                                <w:p w:rsidR="001B6ADC" w:rsidRDefault="001B6ADC">
                                  <w:pPr>
                                    <w:pStyle w:val="BlockText"/>
                                  </w:pPr>
                                </w:p>
                              </w:tc>
                            </w:tr>
                            <w:tr w:rsidR="00CF3A41">
                              <w:trPr>
                                <w:trHeight w:hRule="exact" w:val="288"/>
                              </w:trPr>
                              <w:tc>
                                <w:tcPr>
                                  <w:tcW w:w="3518" w:type="dxa"/>
                                </w:tcPr>
                                <w:p w:rsidR="00CF3A41" w:rsidRDefault="00CF3A41"/>
                              </w:tc>
                            </w:tr>
                            <w:tr w:rsidR="00CF3A41">
                              <w:trPr>
                                <w:trHeight w:hRule="exact" w:val="3312"/>
                              </w:trPr>
                              <w:tc>
                                <w:tcPr>
                                  <w:tcW w:w="3518" w:type="dxa"/>
                                </w:tcPr>
                                <w:p w:rsidR="00CF3A41" w:rsidRDefault="00CF3A41"/>
                              </w:tc>
                            </w:tr>
                          </w:tbl>
                          <w:p w:rsidR="00CF3A41" w:rsidRDefault="00CF3A41">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7C893" id="_x0000_t202" coordsize="21600,21600" o:spt="202" path="m,l,21600r21600,l21600,xe">
                <v:stroke joinstyle="miter"/>
                <v:path gradientshapeok="t" o:connecttype="rect"/>
              </v:shapetype>
              <v:shape id="Text Box 1" o:spid="_x0000_s1026" type="#_x0000_t202" alt="Text box sidebar for laying out a highlighted story and photo." style="position:absolute;margin-left:-4.4pt;margin-top:9.1pt;width:177.15pt;height:390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" o:allowoverlap="f" fillcolor="white [3201]" strokecolor="#3e84a3 [3207]" strokeweight="1pt">
                <v:textbox inset="0,0,0,0">
                  <w:txbxContent>
                    <w:p w:rsidR="001B6ADC" w:rsidRDefault="001B6ADC"/>
                    <w:p w:rsidR="001B6ADC" w:rsidRDefault="001B6ADC"/>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CF3A41" w:rsidTr="008214C6">
                        <w:trPr>
                          <w:trHeight w:hRule="exact" w:val="5688"/>
                        </w:trPr>
                        <w:tc>
                          <w:tcPr>
                            <w:tcW w:w="3518" w:type="dxa"/>
                            <w:shd w:val="clear" w:color="auto" w:fill="E76A1D" w:themeFill="accent1"/>
                            <w:tcMar>
                              <w:top w:w="288" w:type="dxa"/>
                              <w:bottom w:w="288" w:type="dxa"/>
                            </w:tcMar>
                          </w:tcPr>
                          <w:p w:rsidR="00CF3A41" w:rsidRPr="008214C6" w:rsidRDefault="008214C6" w:rsidP="009A2CFF">
                            <w:pPr>
                              <w:pStyle w:val="BlockHeading"/>
                              <w:jc w:val="center"/>
                              <w:rPr>
                                <w:sz w:val="27"/>
                                <w:szCs w:val="27"/>
                              </w:rPr>
                            </w:pPr>
                            <w:r w:rsidRPr="008214C6">
                              <w:rPr>
                                <w:sz w:val="27"/>
                                <w:szCs w:val="27"/>
                              </w:rPr>
                              <w:t>program overview</w:t>
                            </w:r>
                          </w:p>
                          <w:p w:rsidR="00FF5E18" w:rsidRDefault="00FF5E18" w:rsidP="00FF5E18">
                            <w:pPr>
                              <w:pStyle w:val="BlockText"/>
                            </w:pPr>
                          </w:p>
                          <w:p w:rsidR="001B6ADC" w:rsidRDefault="001B6ADC" w:rsidP="00FF5E18">
                            <w:pPr>
                              <w:pStyle w:val="BlockText"/>
                            </w:pPr>
                          </w:p>
                          <w:p w:rsidR="00FF5E18" w:rsidRDefault="00FA26B2" w:rsidP="009A2CFF">
                            <w:pPr>
                              <w:pStyle w:val="BlockText"/>
                              <w:spacing w:after="240"/>
                              <w:ind w:left="144" w:right="144"/>
                              <w:jc w:val="both"/>
                              <w:rPr>
                                <w:rFonts w:ascii="Arial" w:hAnsi="Arial" w:cs="Arial"/>
                                <w:sz w:val="24"/>
                                <w:szCs w:val="24"/>
                              </w:rPr>
                            </w:pPr>
                            <w:r w:rsidRPr="008214C6">
                              <w:rPr>
                                <w:rFonts w:ascii="Arial" w:hAnsi="Arial" w:cs="Arial"/>
                                <w:sz w:val="24"/>
                                <w:szCs w:val="24"/>
                              </w:rPr>
                              <w:t>The Guardianship Monitoring Pro</w:t>
                            </w:r>
                            <w:r w:rsidR="001B6ADC">
                              <w:rPr>
                                <w:rFonts w:ascii="Arial" w:hAnsi="Arial" w:cs="Arial"/>
                                <w:sz w:val="24"/>
                                <w:szCs w:val="24"/>
                              </w:rPr>
                              <w:t>gram was established in Charlotte</w:t>
                            </w:r>
                            <w:r w:rsidR="00B77AAC" w:rsidRPr="008214C6">
                              <w:rPr>
                                <w:rFonts w:ascii="Arial" w:hAnsi="Arial" w:cs="Arial"/>
                                <w:sz w:val="24"/>
                                <w:szCs w:val="24"/>
                              </w:rPr>
                              <w:t xml:space="preserve"> County</w:t>
                            </w:r>
                            <w:r w:rsidRPr="008214C6">
                              <w:rPr>
                                <w:rFonts w:ascii="Arial" w:hAnsi="Arial" w:cs="Arial"/>
                                <w:sz w:val="24"/>
                                <w:szCs w:val="24"/>
                              </w:rPr>
                              <w:t xml:space="preserve"> to ensure </w:t>
                            </w:r>
                            <w:r w:rsidR="00B77AAC" w:rsidRPr="008214C6">
                              <w:rPr>
                                <w:rFonts w:ascii="Arial" w:hAnsi="Arial" w:cs="Arial"/>
                                <w:sz w:val="24"/>
                                <w:szCs w:val="24"/>
                              </w:rPr>
                              <w:t>that all court-appointed guardians adhere to the State of Florida guardianship law</w:t>
                            </w:r>
                            <w:r w:rsidR="001B6ADC">
                              <w:rPr>
                                <w:rFonts w:ascii="Arial" w:hAnsi="Arial" w:cs="Arial"/>
                                <w:sz w:val="24"/>
                                <w:szCs w:val="24"/>
                              </w:rPr>
                              <w:t>s</w:t>
                            </w:r>
                            <w:r w:rsidR="00B77AAC" w:rsidRPr="008214C6">
                              <w:rPr>
                                <w:rFonts w:ascii="Arial" w:hAnsi="Arial" w:cs="Arial"/>
                                <w:sz w:val="24"/>
                                <w:szCs w:val="24"/>
                              </w:rPr>
                              <w:t xml:space="preserve"> by </w:t>
                            </w:r>
                            <w:r w:rsidR="001B6ADC">
                              <w:rPr>
                                <w:rFonts w:ascii="Arial" w:hAnsi="Arial" w:cs="Arial"/>
                                <w:sz w:val="24"/>
                                <w:szCs w:val="24"/>
                              </w:rPr>
                              <w:t xml:space="preserve">meeting </w:t>
                            </w:r>
                            <w:r w:rsidR="00B77AAC" w:rsidRPr="008214C6">
                              <w:rPr>
                                <w:rFonts w:ascii="Arial" w:hAnsi="Arial" w:cs="Arial"/>
                                <w:sz w:val="24"/>
                                <w:szCs w:val="24"/>
                              </w:rPr>
                              <w:t>filing deadlines and providing the most appropriate level of personal and/or financial care to their wards.</w:t>
                            </w:r>
                          </w:p>
                          <w:p w:rsidR="001B6ADC" w:rsidRDefault="001B6ADC" w:rsidP="009A2CFF">
                            <w:pPr>
                              <w:pStyle w:val="BlockText"/>
                              <w:spacing w:after="240"/>
                              <w:ind w:left="144" w:right="144"/>
                              <w:jc w:val="both"/>
                              <w:rPr>
                                <w:rFonts w:ascii="Arial" w:hAnsi="Arial" w:cs="Arial"/>
                                <w:sz w:val="24"/>
                                <w:szCs w:val="24"/>
                              </w:rPr>
                            </w:pPr>
                          </w:p>
                          <w:p w:rsidR="001B6ADC" w:rsidRDefault="001B6ADC" w:rsidP="009A2CFF">
                            <w:pPr>
                              <w:pStyle w:val="BlockText"/>
                              <w:spacing w:after="240"/>
                              <w:ind w:left="144" w:right="144"/>
                              <w:jc w:val="both"/>
                              <w:rPr>
                                <w:rFonts w:ascii="Arial" w:hAnsi="Arial" w:cs="Arial"/>
                                <w:sz w:val="24"/>
                                <w:szCs w:val="24"/>
                              </w:rPr>
                            </w:pPr>
                          </w:p>
                          <w:p w:rsidR="001B6ADC" w:rsidRPr="008214C6" w:rsidRDefault="001B6ADC" w:rsidP="009A2CFF">
                            <w:pPr>
                              <w:pStyle w:val="BlockText"/>
                              <w:spacing w:after="240"/>
                              <w:ind w:left="144" w:right="144"/>
                              <w:jc w:val="both"/>
                              <w:rPr>
                                <w:rFonts w:ascii="Arial" w:hAnsi="Arial" w:cs="Arial"/>
                                <w:sz w:val="24"/>
                                <w:szCs w:val="24"/>
                              </w:rPr>
                            </w:pPr>
                          </w:p>
                          <w:p w:rsidR="00CF3A41" w:rsidRDefault="00CF3A41">
                            <w:pPr>
                              <w:pStyle w:val="BlockText"/>
                            </w:pPr>
                          </w:p>
                          <w:p w:rsidR="001B6ADC" w:rsidRDefault="001B6ADC">
                            <w:pPr>
                              <w:pStyle w:val="BlockText"/>
                            </w:pPr>
                          </w:p>
                          <w:p w:rsidR="001B6ADC" w:rsidRDefault="001B6ADC">
                            <w:pPr>
                              <w:pStyle w:val="BlockText"/>
                            </w:pPr>
                          </w:p>
                          <w:p w:rsidR="001B6ADC" w:rsidRDefault="001B6ADC">
                            <w:pPr>
                              <w:pStyle w:val="BlockText"/>
                            </w:pPr>
                          </w:p>
                          <w:p w:rsidR="001B6ADC" w:rsidRDefault="001B6ADC">
                            <w:pPr>
                              <w:pStyle w:val="BlockText"/>
                            </w:pPr>
                          </w:p>
                        </w:tc>
                      </w:tr>
                      <w:tr w:rsidR="00CF3A41">
                        <w:trPr>
                          <w:trHeight w:hRule="exact" w:val="288"/>
                        </w:trPr>
                        <w:tc>
                          <w:tcPr>
                            <w:tcW w:w="3518" w:type="dxa"/>
                          </w:tcPr>
                          <w:p w:rsidR="00CF3A41" w:rsidRDefault="00CF3A41"/>
                        </w:tc>
                      </w:tr>
                      <w:tr w:rsidR="00CF3A41">
                        <w:trPr>
                          <w:trHeight w:hRule="exact" w:val="3312"/>
                        </w:trPr>
                        <w:tc>
                          <w:tcPr>
                            <w:tcW w:w="3518" w:type="dxa"/>
                          </w:tcPr>
                          <w:p w:rsidR="00CF3A41" w:rsidRDefault="00CF3A41"/>
                        </w:tc>
                      </w:tr>
                    </w:tbl>
                    <w:p w:rsidR="00CF3A41" w:rsidRDefault="00CF3A41">
                      <w:pPr>
                        <w:pStyle w:val="Caption"/>
                      </w:pPr>
                    </w:p>
                  </w:txbxContent>
                </v:textbox>
                <w10:wrap type="square" anchorx="margin"/>
              </v:shape>
            </w:pict>
          </mc:Fallback>
        </mc:AlternateContent>
      </w:r>
      <w:r w:rsidR="009A2CFF">
        <w:t>court guardianship monitor</w:t>
      </w:r>
    </w:p>
    <w:p w:rsidR="009A2CFF" w:rsidRPr="009A2CFF" w:rsidRDefault="009A2CFF" w:rsidP="009A2CFF">
      <w:pPr>
        <w:rPr>
          <w:color w:val="0070C0"/>
          <w:u w:val="thick"/>
        </w:rPr>
      </w:pPr>
      <w:r w:rsidRPr="009A2CFF">
        <w:rPr>
          <w:color w:val="0070C0"/>
          <w:u w:val="thick"/>
        </w:rPr>
        <w:t>____________________________________________________</w:t>
      </w:r>
    </w:p>
    <w:p w:rsidR="00FF5E18" w:rsidRDefault="001B6ADC" w:rsidP="00FF5E18">
      <w:pPr>
        <w:pStyle w:val="NormalWeb"/>
        <w:shd w:val="clear" w:color="auto" w:fill="FFFFFF"/>
        <w:spacing w:before="0" w:beforeAutospacing="0" w:after="360" w:afterAutospacing="0" w:line="360" w:lineRule="atLeast"/>
        <w:jc w:val="both"/>
        <w:textAlignment w:val="baseline"/>
        <w:rPr>
          <w:rFonts w:ascii="Arial" w:hAnsi="Arial" w:cs="Arial"/>
          <w:color w:val="13171F"/>
        </w:rPr>
      </w:pPr>
      <w:r>
        <w:rPr>
          <w:rFonts w:ascii="Arial" w:hAnsi="Arial" w:cs="Arial"/>
          <w:color w:val="13171F"/>
        </w:rPr>
        <w:t>The Twentieth</w:t>
      </w:r>
      <w:r w:rsidR="00FF5E18">
        <w:rPr>
          <w:rFonts w:ascii="Arial" w:hAnsi="Arial" w:cs="Arial"/>
          <w:color w:val="13171F"/>
        </w:rPr>
        <w:t xml:space="preserve"> Judicial Circuit </w:t>
      </w:r>
      <w:r w:rsidR="00426F6A">
        <w:rPr>
          <w:rFonts w:ascii="Arial" w:hAnsi="Arial" w:cs="Arial"/>
          <w:color w:val="13171F"/>
        </w:rPr>
        <w:t>has employed a</w:t>
      </w:r>
      <w:r w:rsidR="00FA26B2">
        <w:rPr>
          <w:rFonts w:ascii="Arial" w:hAnsi="Arial" w:cs="Arial"/>
          <w:color w:val="13171F"/>
        </w:rPr>
        <w:t xml:space="preserve"> full-time Court Guardianship</w:t>
      </w:r>
      <w:r>
        <w:rPr>
          <w:rFonts w:ascii="Arial" w:hAnsi="Arial" w:cs="Arial"/>
          <w:color w:val="13171F"/>
        </w:rPr>
        <w:t xml:space="preserve"> Monitor to be the </w:t>
      </w:r>
      <w:r w:rsidR="00C21E7C">
        <w:rPr>
          <w:rFonts w:ascii="Arial" w:hAnsi="Arial" w:cs="Arial"/>
          <w:color w:val="13171F"/>
        </w:rPr>
        <w:t>“</w:t>
      </w:r>
      <w:r>
        <w:rPr>
          <w:rFonts w:ascii="Arial" w:hAnsi="Arial" w:cs="Arial"/>
          <w:color w:val="13171F"/>
        </w:rPr>
        <w:t>eyes and ears</w:t>
      </w:r>
      <w:r w:rsidR="00C21E7C">
        <w:rPr>
          <w:rFonts w:ascii="Arial" w:hAnsi="Arial" w:cs="Arial"/>
          <w:color w:val="13171F"/>
        </w:rPr>
        <w:t>”</w:t>
      </w:r>
      <w:r>
        <w:rPr>
          <w:rFonts w:ascii="Arial" w:hAnsi="Arial" w:cs="Arial"/>
          <w:color w:val="13171F"/>
        </w:rPr>
        <w:t xml:space="preserve"> of the </w:t>
      </w:r>
      <w:r w:rsidR="00426F6A">
        <w:rPr>
          <w:rFonts w:ascii="Arial" w:hAnsi="Arial" w:cs="Arial"/>
          <w:color w:val="13171F"/>
        </w:rPr>
        <w:t xml:space="preserve">Court in </w:t>
      </w:r>
      <w:r w:rsidR="00B059F2">
        <w:rPr>
          <w:rFonts w:ascii="Arial" w:hAnsi="Arial" w:cs="Arial"/>
          <w:color w:val="13171F"/>
        </w:rPr>
        <w:t xml:space="preserve">all </w:t>
      </w:r>
      <w:r w:rsidR="00B03647">
        <w:rPr>
          <w:rFonts w:ascii="Arial" w:hAnsi="Arial" w:cs="Arial"/>
          <w:color w:val="13171F"/>
        </w:rPr>
        <w:t xml:space="preserve">Charlotte County </w:t>
      </w:r>
      <w:r>
        <w:rPr>
          <w:rFonts w:ascii="Arial" w:hAnsi="Arial" w:cs="Arial"/>
          <w:color w:val="13171F"/>
        </w:rPr>
        <w:t>guardianship cases</w:t>
      </w:r>
      <w:r w:rsidR="00FF5E18">
        <w:rPr>
          <w:rFonts w:ascii="Arial" w:hAnsi="Arial" w:cs="Arial"/>
          <w:color w:val="13171F"/>
        </w:rPr>
        <w:t xml:space="preserve">. </w:t>
      </w:r>
      <w:r w:rsidR="00426F6A">
        <w:rPr>
          <w:rFonts w:ascii="Arial" w:hAnsi="Arial" w:cs="Arial"/>
          <w:color w:val="13171F"/>
        </w:rPr>
        <w:t>In add</w:t>
      </w:r>
      <w:r w:rsidR="009B1003">
        <w:rPr>
          <w:rFonts w:ascii="Arial" w:hAnsi="Arial" w:cs="Arial"/>
          <w:color w:val="13171F"/>
        </w:rPr>
        <w:t>ition to monitoring these</w:t>
      </w:r>
      <w:r w:rsidR="00426F6A">
        <w:rPr>
          <w:rFonts w:ascii="Arial" w:hAnsi="Arial" w:cs="Arial"/>
          <w:color w:val="13171F"/>
        </w:rPr>
        <w:t xml:space="preserve"> cases, t</w:t>
      </w:r>
      <w:r w:rsidR="00FF5E18">
        <w:rPr>
          <w:rFonts w:ascii="Arial" w:hAnsi="Arial" w:cs="Arial"/>
          <w:color w:val="13171F"/>
        </w:rPr>
        <w:t xml:space="preserve">he Court </w:t>
      </w:r>
      <w:r w:rsidR="009B1003">
        <w:rPr>
          <w:rFonts w:ascii="Arial" w:hAnsi="Arial" w:cs="Arial"/>
          <w:color w:val="13171F"/>
        </w:rPr>
        <w:t xml:space="preserve">Guardianship </w:t>
      </w:r>
      <w:r w:rsidR="00FF5E18">
        <w:rPr>
          <w:rFonts w:ascii="Arial" w:hAnsi="Arial" w:cs="Arial"/>
          <w:color w:val="13171F"/>
        </w:rPr>
        <w:t xml:space="preserve">Monitor </w:t>
      </w:r>
      <w:r w:rsidR="008178A6">
        <w:rPr>
          <w:rFonts w:ascii="Arial" w:hAnsi="Arial" w:cs="Arial"/>
          <w:color w:val="13171F"/>
        </w:rPr>
        <w:t>may</w:t>
      </w:r>
      <w:r w:rsidR="005C70A3">
        <w:rPr>
          <w:rFonts w:ascii="Arial" w:hAnsi="Arial" w:cs="Arial"/>
          <w:color w:val="13171F"/>
        </w:rPr>
        <w:t xml:space="preserve"> also investigate</w:t>
      </w:r>
      <w:r w:rsidR="00FF5E18">
        <w:rPr>
          <w:rFonts w:ascii="Arial" w:hAnsi="Arial" w:cs="Arial"/>
          <w:color w:val="13171F"/>
        </w:rPr>
        <w:t xml:space="preserve"> allegations of abuse, neglect and/or exploitation of elderly wards or the misappropriation of </w:t>
      </w:r>
      <w:r>
        <w:rPr>
          <w:rFonts w:ascii="Arial" w:hAnsi="Arial" w:cs="Arial"/>
          <w:color w:val="13171F"/>
        </w:rPr>
        <w:t>a ward</w:t>
      </w:r>
      <w:r w:rsidR="00FF5E18">
        <w:rPr>
          <w:rFonts w:ascii="Arial" w:hAnsi="Arial" w:cs="Arial"/>
          <w:color w:val="13171F"/>
        </w:rPr>
        <w:t>’</w:t>
      </w:r>
      <w:r>
        <w:rPr>
          <w:rFonts w:ascii="Arial" w:hAnsi="Arial" w:cs="Arial"/>
          <w:color w:val="13171F"/>
        </w:rPr>
        <w:t>s</w:t>
      </w:r>
      <w:r w:rsidR="00FF5E18">
        <w:rPr>
          <w:rFonts w:ascii="Arial" w:hAnsi="Arial" w:cs="Arial"/>
          <w:color w:val="13171F"/>
        </w:rPr>
        <w:t xml:space="preserve"> assets. </w:t>
      </w:r>
    </w:p>
    <w:p w:rsidR="009A2CFF" w:rsidRDefault="001B6ADC" w:rsidP="00FF5E18">
      <w:pPr>
        <w:pStyle w:val="NormalWeb"/>
        <w:shd w:val="clear" w:color="auto" w:fill="FFFFFF"/>
        <w:spacing w:before="0" w:beforeAutospacing="0" w:after="360" w:afterAutospacing="0" w:line="360" w:lineRule="atLeast"/>
        <w:jc w:val="both"/>
        <w:textAlignment w:val="baseline"/>
        <w:rPr>
          <w:rFonts w:ascii="Arial" w:hAnsi="Arial" w:cs="Arial"/>
          <w:color w:val="13171F"/>
        </w:rPr>
      </w:pPr>
      <w:r>
        <w:rPr>
          <w:rFonts w:ascii="Arial" w:hAnsi="Arial" w:cs="Arial"/>
          <w:color w:val="13171F"/>
        </w:rPr>
        <w:t>The primary objectives</w:t>
      </w:r>
      <w:r w:rsidR="00B03647">
        <w:rPr>
          <w:rFonts w:ascii="Arial" w:hAnsi="Arial" w:cs="Arial"/>
          <w:color w:val="13171F"/>
        </w:rPr>
        <w:t xml:space="preserve"> of this position are as</w:t>
      </w:r>
      <w:r w:rsidR="008178A6">
        <w:rPr>
          <w:rFonts w:ascii="Arial" w:hAnsi="Arial" w:cs="Arial"/>
          <w:color w:val="13171F"/>
        </w:rPr>
        <w:t xml:space="preserve"> follows</w:t>
      </w:r>
      <w:r>
        <w:rPr>
          <w:rFonts w:ascii="Arial" w:hAnsi="Arial" w:cs="Arial"/>
          <w:color w:val="13171F"/>
        </w:rPr>
        <w:t>:</w:t>
      </w:r>
    </w:p>
    <w:p w:rsidR="00FA26B2" w:rsidRPr="00FA26B2" w:rsidRDefault="00FA26B2" w:rsidP="005C70A3">
      <w:pPr>
        <w:pStyle w:val="NoSpacing"/>
        <w:numPr>
          <w:ilvl w:val="0"/>
          <w:numId w:val="3"/>
        </w:numPr>
        <w:spacing w:line="360" w:lineRule="atLeast"/>
        <w:jc w:val="both"/>
        <w:rPr>
          <w:rFonts w:ascii="Arial" w:hAnsi="Arial" w:cs="Arial"/>
          <w:color w:val="auto"/>
          <w:sz w:val="24"/>
          <w:szCs w:val="24"/>
        </w:rPr>
      </w:pPr>
      <w:r w:rsidRPr="00FA26B2">
        <w:rPr>
          <w:rFonts w:ascii="Arial" w:hAnsi="Arial" w:cs="Arial"/>
          <w:color w:val="auto"/>
          <w:sz w:val="24"/>
          <w:szCs w:val="24"/>
        </w:rPr>
        <w:t xml:space="preserve">To supplement the auditing that the Clerk does as part of its </w:t>
      </w:r>
      <w:r w:rsidR="008214C6">
        <w:rPr>
          <w:rFonts w:ascii="Arial" w:hAnsi="Arial" w:cs="Arial"/>
          <w:color w:val="auto"/>
          <w:sz w:val="24"/>
          <w:szCs w:val="24"/>
        </w:rPr>
        <w:t xml:space="preserve">      </w:t>
      </w:r>
      <w:r w:rsidRPr="00FA26B2">
        <w:rPr>
          <w:rFonts w:ascii="Arial" w:hAnsi="Arial" w:cs="Arial"/>
          <w:color w:val="auto"/>
          <w:sz w:val="24"/>
          <w:szCs w:val="24"/>
        </w:rPr>
        <w:t>statutory duties.</w:t>
      </w:r>
    </w:p>
    <w:p w:rsidR="00FA26B2" w:rsidRPr="00FA26B2" w:rsidRDefault="00FA26B2" w:rsidP="00FA26B2">
      <w:pPr>
        <w:pStyle w:val="NoSpacing"/>
        <w:spacing w:line="360" w:lineRule="atLeast"/>
        <w:rPr>
          <w:rFonts w:ascii="Arial" w:hAnsi="Arial" w:cs="Arial"/>
          <w:color w:val="auto"/>
          <w:sz w:val="24"/>
          <w:szCs w:val="24"/>
        </w:rPr>
      </w:pPr>
    </w:p>
    <w:p w:rsidR="00FA26B2" w:rsidRPr="00FA26B2" w:rsidRDefault="00FA26B2" w:rsidP="005C70A3">
      <w:pPr>
        <w:pStyle w:val="NoSpacing"/>
        <w:numPr>
          <w:ilvl w:val="0"/>
          <w:numId w:val="3"/>
        </w:numPr>
        <w:spacing w:line="360" w:lineRule="atLeast"/>
        <w:jc w:val="both"/>
        <w:rPr>
          <w:rFonts w:ascii="Arial" w:hAnsi="Arial" w:cs="Arial"/>
          <w:color w:val="auto"/>
          <w:sz w:val="24"/>
          <w:szCs w:val="24"/>
        </w:rPr>
      </w:pPr>
      <w:r w:rsidRPr="00FA26B2">
        <w:rPr>
          <w:rFonts w:ascii="Arial" w:hAnsi="Arial" w:cs="Arial"/>
          <w:color w:val="auto"/>
          <w:sz w:val="24"/>
          <w:szCs w:val="24"/>
        </w:rPr>
        <w:t>To independently review Guardianship cases to make sure the best interest</w:t>
      </w:r>
      <w:r w:rsidR="001B6ADC">
        <w:rPr>
          <w:rFonts w:ascii="Arial" w:hAnsi="Arial" w:cs="Arial"/>
          <w:color w:val="auto"/>
          <w:sz w:val="24"/>
          <w:szCs w:val="24"/>
        </w:rPr>
        <w:t>s</w:t>
      </w:r>
      <w:r w:rsidRPr="00FA26B2">
        <w:rPr>
          <w:rFonts w:ascii="Arial" w:hAnsi="Arial" w:cs="Arial"/>
          <w:color w:val="auto"/>
          <w:sz w:val="24"/>
          <w:szCs w:val="24"/>
        </w:rPr>
        <w:t xml:space="preserve"> of the Ward</w:t>
      </w:r>
      <w:r w:rsidR="009A2CFF">
        <w:rPr>
          <w:rFonts w:ascii="Arial" w:hAnsi="Arial" w:cs="Arial"/>
          <w:color w:val="auto"/>
          <w:sz w:val="24"/>
          <w:szCs w:val="24"/>
        </w:rPr>
        <w:t xml:space="preserve"> are</w:t>
      </w:r>
      <w:r w:rsidRPr="00FA26B2">
        <w:rPr>
          <w:rFonts w:ascii="Arial" w:hAnsi="Arial" w:cs="Arial"/>
          <w:color w:val="auto"/>
          <w:sz w:val="24"/>
          <w:szCs w:val="24"/>
        </w:rPr>
        <w:t xml:space="preserve"> being met.</w:t>
      </w:r>
    </w:p>
    <w:p w:rsidR="00FA26B2" w:rsidRPr="00FA26B2" w:rsidRDefault="00FA26B2" w:rsidP="00FA26B2">
      <w:pPr>
        <w:pStyle w:val="NoSpacing"/>
        <w:spacing w:line="360" w:lineRule="atLeast"/>
        <w:rPr>
          <w:rFonts w:ascii="Arial" w:hAnsi="Arial" w:cs="Arial"/>
          <w:color w:val="auto"/>
          <w:sz w:val="24"/>
          <w:szCs w:val="24"/>
        </w:rPr>
      </w:pPr>
    </w:p>
    <w:p w:rsidR="00FA26B2" w:rsidRPr="00FA26B2" w:rsidRDefault="00FA26B2" w:rsidP="005C70A3">
      <w:pPr>
        <w:pStyle w:val="NoSpacing"/>
        <w:numPr>
          <w:ilvl w:val="0"/>
          <w:numId w:val="3"/>
        </w:numPr>
        <w:spacing w:line="360" w:lineRule="atLeast"/>
        <w:jc w:val="both"/>
        <w:rPr>
          <w:rFonts w:ascii="Arial" w:hAnsi="Arial" w:cs="Arial"/>
          <w:color w:val="auto"/>
          <w:sz w:val="24"/>
          <w:szCs w:val="24"/>
        </w:rPr>
      </w:pPr>
      <w:r w:rsidRPr="00FA26B2">
        <w:rPr>
          <w:rFonts w:ascii="Arial" w:hAnsi="Arial" w:cs="Arial"/>
          <w:color w:val="auto"/>
          <w:sz w:val="24"/>
          <w:szCs w:val="24"/>
        </w:rPr>
        <w:t xml:space="preserve">To advise </w:t>
      </w:r>
      <w:r w:rsidR="001B6ADC">
        <w:rPr>
          <w:rFonts w:ascii="Arial" w:hAnsi="Arial" w:cs="Arial"/>
          <w:color w:val="auto"/>
          <w:sz w:val="24"/>
          <w:szCs w:val="24"/>
        </w:rPr>
        <w:t xml:space="preserve">the Court on a regular basis </w:t>
      </w:r>
      <w:r w:rsidRPr="00FA26B2">
        <w:rPr>
          <w:rFonts w:ascii="Arial" w:hAnsi="Arial" w:cs="Arial"/>
          <w:color w:val="auto"/>
          <w:sz w:val="24"/>
          <w:szCs w:val="24"/>
        </w:rPr>
        <w:t>the status of active Guardianship cases.</w:t>
      </w:r>
    </w:p>
    <w:p w:rsidR="00FA26B2" w:rsidRPr="00FA26B2" w:rsidRDefault="00FA26B2" w:rsidP="00FA26B2">
      <w:pPr>
        <w:pStyle w:val="NoSpacing"/>
        <w:spacing w:line="360" w:lineRule="atLeast"/>
        <w:rPr>
          <w:rFonts w:ascii="Arial" w:hAnsi="Arial" w:cs="Arial"/>
          <w:color w:val="auto"/>
          <w:sz w:val="24"/>
          <w:szCs w:val="24"/>
        </w:rPr>
      </w:pPr>
    </w:p>
    <w:p w:rsidR="00FA26B2" w:rsidRDefault="00FA26B2" w:rsidP="009A2CFF">
      <w:pPr>
        <w:pStyle w:val="NoSpacing"/>
        <w:numPr>
          <w:ilvl w:val="0"/>
          <w:numId w:val="3"/>
        </w:numPr>
        <w:spacing w:line="360" w:lineRule="atLeast"/>
        <w:rPr>
          <w:rFonts w:ascii="Arial" w:hAnsi="Arial" w:cs="Arial"/>
          <w:color w:val="auto"/>
          <w:sz w:val="24"/>
          <w:szCs w:val="24"/>
        </w:rPr>
      </w:pPr>
      <w:r w:rsidRPr="00FA26B2">
        <w:rPr>
          <w:rFonts w:ascii="Arial" w:hAnsi="Arial" w:cs="Arial"/>
          <w:color w:val="auto"/>
          <w:sz w:val="24"/>
          <w:szCs w:val="24"/>
        </w:rPr>
        <w:t>To be a clearinghouse for complaints, requests, and inquiries regarding particular</w:t>
      </w:r>
      <w:r w:rsidR="00135882">
        <w:rPr>
          <w:rFonts w:ascii="Arial" w:hAnsi="Arial" w:cs="Arial"/>
          <w:color w:val="auto"/>
          <w:sz w:val="24"/>
          <w:szCs w:val="24"/>
        </w:rPr>
        <w:t xml:space="preserve"> Guardianship cases</w:t>
      </w:r>
      <w:r w:rsidR="009A2CFF">
        <w:rPr>
          <w:rFonts w:ascii="Arial" w:hAnsi="Arial" w:cs="Arial"/>
          <w:color w:val="auto"/>
          <w:sz w:val="24"/>
          <w:szCs w:val="24"/>
        </w:rPr>
        <w:t>.</w:t>
      </w:r>
    </w:p>
    <w:p w:rsidR="009A2CFF" w:rsidRDefault="009A2CFF" w:rsidP="009A2CFF">
      <w:pPr>
        <w:pStyle w:val="ListParagraph"/>
        <w:rPr>
          <w:rFonts w:ascii="Arial" w:hAnsi="Arial" w:cs="Arial"/>
          <w:color w:val="auto"/>
          <w:sz w:val="24"/>
          <w:szCs w:val="24"/>
        </w:rPr>
      </w:pPr>
    </w:p>
    <w:p w:rsidR="008214C6" w:rsidRPr="00420942" w:rsidRDefault="008214C6" w:rsidP="009A2CFF">
      <w:pPr>
        <w:pStyle w:val="NoSpacing"/>
        <w:spacing w:line="360" w:lineRule="atLeast"/>
        <w:ind w:left="2880"/>
        <w:rPr>
          <w:rFonts w:ascii="Arial" w:hAnsi="Arial" w:cs="Arial"/>
          <w:i/>
          <w:color w:val="auto"/>
          <w:sz w:val="25"/>
          <w:szCs w:val="25"/>
        </w:rPr>
      </w:pPr>
    </w:p>
    <w:p w:rsidR="00BA7B85" w:rsidRPr="00420942" w:rsidRDefault="00420942" w:rsidP="001B6ADC">
      <w:pPr>
        <w:pStyle w:val="NoSpacing"/>
        <w:jc w:val="center"/>
        <w:rPr>
          <w:rFonts w:ascii="Arial" w:hAnsi="Arial" w:cs="Arial"/>
          <w:i/>
          <w:color w:val="auto"/>
          <w:sz w:val="25"/>
          <w:szCs w:val="25"/>
        </w:rPr>
      </w:pPr>
      <w:r>
        <w:rPr>
          <w:rFonts w:ascii="Arial" w:hAnsi="Arial" w:cs="Arial"/>
          <w:i/>
          <w:color w:val="auto"/>
          <w:sz w:val="25"/>
          <w:szCs w:val="25"/>
        </w:rPr>
        <w:t xml:space="preserve">“The Guardianship Monitor </w:t>
      </w:r>
      <w:r w:rsidR="00BA7B85" w:rsidRPr="00420942">
        <w:rPr>
          <w:rFonts w:ascii="Arial" w:hAnsi="Arial" w:cs="Arial"/>
          <w:i/>
          <w:color w:val="auto"/>
          <w:sz w:val="25"/>
          <w:szCs w:val="25"/>
        </w:rPr>
        <w:t>serves as the eyes a</w:t>
      </w:r>
      <w:r w:rsidR="000C1EBA">
        <w:rPr>
          <w:rFonts w:ascii="Arial" w:hAnsi="Arial" w:cs="Arial"/>
          <w:i/>
          <w:color w:val="auto"/>
          <w:sz w:val="25"/>
          <w:szCs w:val="25"/>
        </w:rPr>
        <w:t>nd ears of the C</w:t>
      </w:r>
      <w:r w:rsidR="005C70A3">
        <w:rPr>
          <w:rFonts w:ascii="Arial" w:hAnsi="Arial" w:cs="Arial"/>
          <w:i/>
          <w:color w:val="auto"/>
          <w:sz w:val="25"/>
          <w:szCs w:val="25"/>
        </w:rPr>
        <w:t>ourt</w:t>
      </w:r>
      <w:r w:rsidR="00C44C5F">
        <w:rPr>
          <w:rFonts w:ascii="Arial" w:hAnsi="Arial" w:cs="Arial"/>
          <w:i/>
          <w:color w:val="auto"/>
          <w:sz w:val="25"/>
          <w:szCs w:val="25"/>
        </w:rPr>
        <w:t xml:space="preserve"> to ensure that the needs of the Ward are being appropriately met.</w:t>
      </w:r>
      <w:r w:rsidR="005C70A3">
        <w:rPr>
          <w:rFonts w:ascii="Arial" w:hAnsi="Arial" w:cs="Arial"/>
          <w:i/>
          <w:color w:val="auto"/>
          <w:sz w:val="25"/>
          <w:szCs w:val="25"/>
        </w:rPr>
        <w:t>”</w:t>
      </w:r>
    </w:p>
    <w:p w:rsidR="00BA7B85" w:rsidRPr="00420942" w:rsidRDefault="00BA7B85" w:rsidP="00BA7B85">
      <w:pPr>
        <w:pStyle w:val="NoSpacing"/>
        <w:rPr>
          <w:rFonts w:ascii="Arial" w:hAnsi="Arial" w:cs="Arial"/>
          <w:i/>
          <w:color w:val="auto"/>
          <w:sz w:val="24"/>
          <w:szCs w:val="24"/>
        </w:rPr>
      </w:pPr>
      <w:r w:rsidRPr="00420942">
        <w:rPr>
          <w:rFonts w:ascii="Arial" w:hAnsi="Arial" w:cs="Arial"/>
          <w:i/>
          <w:color w:val="auto"/>
          <w:sz w:val="24"/>
          <w:szCs w:val="24"/>
        </w:rPr>
        <w:tab/>
      </w:r>
    </w:p>
    <w:p w:rsidR="008214C6" w:rsidRDefault="001B6ADC" w:rsidP="00420942">
      <w:pPr>
        <w:pStyle w:val="NoSpacing"/>
        <w:ind w:left="2445"/>
        <w:rPr>
          <w:rFonts w:ascii="Arial" w:hAnsi="Arial" w:cs="Arial"/>
          <w:color w:val="auto"/>
          <w:sz w:val="24"/>
          <w:szCs w:val="24"/>
        </w:rPr>
      </w:pPr>
      <w:r>
        <w:rPr>
          <w:rFonts w:ascii="Arial" w:hAnsi="Arial" w:cs="Arial"/>
          <w:color w:val="auto"/>
          <w:sz w:val="24"/>
          <w:szCs w:val="24"/>
        </w:rPr>
        <w:t xml:space="preserve">      </w:t>
      </w:r>
      <w:r w:rsidR="00B059F2">
        <w:rPr>
          <w:rFonts w:ascii="Arial" w:hAnsi="Arial" w:cs="Arial"/>
          <w:color w:val="auto"/>
          <w:sz w:val="24"/>
          <w:szCs w:val="24"/>
        </w:rPr>
        <w:t xml:space="preserve">         ~</w:t>
      </w:r>
      <w:r w:rsidR="00420942">
        <w:rPr>
          <w:rFonts w:ascii="Arial" w:hAnsi="Arial" w:cs="Arial"/>
          <w:color w:val="auto"/>
          <w:sz w:val="24"/>
          <w:szCs w:val="24"/>
        </w:rPr>
        <w:t xml:space="preserve"> The Honorable </w:t>
      </w:r>
      <w:r>
        <w:rPr>
          <w:rFonts w:ascii="Arial" w:hAnsi="Arial" w:cs="Arial"/>
          <w:color w:val="auto"/>
          <w:sz w:val="24"/>
          <w:szCs w:val="24"/>
        </w:rPr>
        <w:t>Paul Alessandroni</w:t>
      </w:r>
      <w:r w:rsidR="00B059F2">
        <w:rPr>
          <w:rFonts w:ascii="Arial" w:hAnsi="Arial" w:cs="Arial"/>
          <w:color w:val="auto"/>
          <w:sz w:val="24"/>
          <w:szCs w:val="24"/>
        </w:rPr>
        <w:t xml:space="preserve"> ~</w:t>
      </w:r>
    </w:p>
    <w:p w:rsidR="001124AC" w:rsidRDefault="001124AC" w:rsidP="001124AC">
      <w:pPr>
        <w:pStyle w:val="NoSpacing"/>
        <w:rPr>
          <w:rFonts w:ascii="Arial" w:hAnsi="Arial" w:cs="Arial"/>
          <w:color w:val="auto"/>
          <w:sz w:val="24"/>
          <w:szCs w:val="24"/>
        </w:rPr>
      </w:pPr>
      <w:r>
        <w:rPr>
          <w:noProof/>
          <w:lang w:eastAsia="en-US"/>
        </w:rPr>
        <w:lastRenderedPageBreak/>
        <mc:AlternateContent>
          <mc:Choice Requires="wps">
            <w:drawing>
              <wp:anchor distT="182880" distB="182880" distL="274320" distR="274320" simplePos="0" relativeHeight="251663360" behindDoc="0" locked="0" layoutInCell="1" allowOverlap="0">
                <wp:simplePos x="0" y="0"/>
                <wp:positionH relativeFrom="margin">
                  <wp:align>left</wp:align>
                </wp:positionH>
                <wp:positionV relativeFrom="margin">
                  <wp:posOffset>-1270</wp:posOffset>
                </wp:positionV>
                <wp:extent cx="2240280" cy="4657725"/>
                <wp:effectExtent l="0" t="0" r="7620" b="9525"/>
                <wp:wrapSquare wrapText="bothSides"/>
                <wp:docPr id="6" name="Text Box 6"/>
                <wp:cNvGraphicFramePr/>
                <a:graphic xmlns:a="http://schemas.openxmlformats.org/drawingml/2006/main">
                  <a:graphicData uri="http://schemas.microsoft.com/office/word/2010/wordprocessingShape">
                    <wps:wsp>
                      <wps:cNvSpPr txBox="1"/>
                      <wps:spPr>
                        <a:xfrm>
                          <a:off x="0" y="0"/>
                          <a:ext cx="2240280" cy="465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4AC" w:rsidRDefault="001124AC">
                            <w:pPr>
                              <w:pStyle w:val="NoSpacing"/>
                            </w:pPr>
                          </w:p>
                          <w:p w:rsidR="001124AC" w:rsidRDefault="001124AC">
                            <w:pPr>
                              <w:pStyle w:val="NoSpacing"/>
                            </w:pPr>
                          </w:p>
                          <w:p w:rsidR="001124AC" w:rsidRDefault="001124A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7740C9" w:rsidRDefault="007740C9">
                            <w:pPr>
                              <w:pStyle w:val="NoSpacing"/>
                            </w:pPr>
                          </w:p>
                          <w:p w:rsidR="007740C9" w:rsidRDefault="007740C9">
                            <w:pPr>
                              <w:pStyle w:val="NoSpacing"/>
                            </w:pPr>
                          </w:p>
                          <w:p w:rsidR="007740C9" w:rsidRDefault="007740C9">
                            <w:pPr>
                              <w:pStyle w:val="NoSpacing"/>
                            </w:pPr>
                          </w:p>
                          <w:p w:rsidR="00CF3A41" w:rsidRDefault="00FF5E18">
                            <w:pPr>
                              <w:pStyle w:val="NoSpacing"/>
                            </w:pPr>
                            <w:r>
                              <w:rPr>
                                <w:rFonts w:ascii="Arial" w:hAnsi="Arial" w:cs="Arial"/>
                                <w:noProof/>
                                <w:color w:val="9999FF"/>
                                <w:sz w:val="18"/>
                                <w:szCs w:val="18"/>
                                <w:lang w:eastAsia="en-US"/>
                              </w:rPr>
                              <w:drawing>
                                <wp:inline distT="0" distB="0" distL="0" distR="0" wp14:anchorId="5AFCAC7F" wp14:editId="2A727116">
                                  <wp:extent cx="1981200" cy="1428750"/>
                                  <wp:effectExtent l="190500" t="190500" r="190500" b="190500"/>
                                  <wp:docPr id="5" name="Picture 5" descr="http://www.jud12.flcourts.org/portals/0/Images/GuardianshipHotlin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d12.flcourts.org/portals/0/Images/GuardianshipHotlin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ln>
                                            <a:noFill/>
                                          </a:ln>
                                          <a:effectLst>
                                            <a:outerShdw blurRad="190500" algn="tl" rotWithShape="0">
                                              <a:srgbClr val="000000">
                                                <a:alpha val="70000"/>
                                              </a:srgbClr>
                                            </a:outerShdw>
                                          </a:effec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0;margin-top:-.1pt;width:176.4pt;height:366.75pt;z-index:251663360;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" o:allowoverlap="f" filled="f" stroked="f" strokeweight=".5pt">
                <v:textbox inset="0,0,0,0">
                  <w:txbxContent>
                    <w:p w:rsidR="001124AC" w:rsidRDefault="001124AC">
                      <w:pPr>
                        <w:pStyle w:val="NoSpacing"/>
                      </w:pPr>
                    </w:p>
                    <w:p w:rsidR="001124AC" w:rsidRDefault="001124AC">
                      <w:pPr>
                        <w:pStyle w:val="NoSpacing"/>
                      </w:pPr>
                    </w:p>
                    <w:p w:rsidR="001124AC" w:rsidRDefault="001124A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E56D7C" w:rsidRDefault="00E56D7C">
                      <w:pPr>
                        <w:pStyle w:val="NoSpacing"/>
                      </w:pPr>
                    </w:p>
                    <w:p w:rsidR="007740C9" w:rsidRDefault="007740C9">
                      <w:pPr>
                        <w:pStyle w:val="NoSpacing"/>
                      </w:pPr>
                    </w:p>
                    <w:p w:rsidR="007740C9" w:rsidRDefault="007740C9">
                      <w:pPr>
                        <w:pStyle w:val="NoSpacing"/>
                      </w:pPr>
                    </w:p>
                    <w:p w:rsidR="007740C9" w:rsidRDefault="007740C9">
                      <w:pPr>
                        <w:pStyle w:val="NoSpacing"/>
                      </w:pPr>
                    </w:p>
                    <w:p w:rsidR="00CF3A41" w:rsidRDefault="00FF5E18">
                      <w:pPr>
                        <w:pStyle w:val="NoSpacing"/>
                      </w:pPr>
                      <w:r>
                        <w:rPr>
                          <w:rFonts w:ascii="Arial" w:hAnsi="Arial" w:cs="Arial"/>
                          <w:noProof/>
                          <w:color w:val="9999FF"/>
                          <w:sz w:val="18"/>
                          <w:szCs w:val="18"/>
                          <w:lang w:eastAsia="en-US"/>
                        </w:rPr>
                        <w:drawing>
                          <wp:inline distT="0" distB="0" distL="0" distR="0" wp14:anchorId="5AFCAC7F" wp14:editId="2A727116">
                            <wp:extent cx="1981200" cy="1428750"/>
                            <wp:effectExtent l="190500" t="190500" r="190500" b="190500"/>
                            <wp:docPr id="5" name="Picture 5" descr="http://www.jud12.flcourts.org/portals/0/Images/GuardianshipHotlin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d12.flcourts.org/portals/0/Images/GuardianshipHotlin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ln>
                                      <a:noFill/>
                                    </a:ln>
                                    <a:effectLst>
                                      <a:outerShdw blurRad="190500" algn="tl" rotWithShape="0">
                                        <a:srgbClr val="000000">
                                          <a:alpha val="70000"/>
                                        </a:srgbClr>
                                      </a:outerShdw>
                                    </a:effectLst>
                                  </pic:spPr>
                                </pic:pic>
                              </a:graphicData>
                            </a:graphic>
                          </wp:inline>
                        </w:drawing>
                      </w:r>
                    </w:p>
                  </w:txbxContent>
                </v:textbox>
                <w10:wrap type="square" anchorx="margin" anchory="margin"/>
              </v:shape>
            </w:pict>
          </mc:Fallback>
        </mc:AlternateContent>
      </w:r>
    </w:p>
    <w:p w:rsidR="001124AC" w:rsidRDefault="001124AC" w:rsidP="001124AC">
      <w:pPr>
        <w:pStyle w:val="NoSpacing"/>
        <w:rPr>
          <w:rFonts w:ascii="Arial" w:hAnsi="Arial" w:cs="Arial"/>
          <w:color w:val="auto"/>
          <w:sz w:val="24"/>
          <w:szCs w:val="24"/>
        </w:rPr>
      </w:pPr>
    </w:p>
    <w:p w:rsidR="00CF3A41" w:rsidRDefault="009A2CFF">
      <w:pPr>
        <w:pStyle w:val="Heading1"/>
      </w:pPr>
      <w:r>
        <w:t>gua</w:t>
      </w:r>
      <w:r w:rsidR="00581FB8">
        <w:t>r</w:t>
      </w:r>
      <w:r>
        <w:t>dianship hotline</w:t>
      </w:r>
    </w:p>
    <w:p w:rsidR="009A2CFF" w:rsidRPr="009A2CFF" w:rsidRDefault="009A2CFF" w:rsidP="009A2CFF">
      <w:pPr>
        <w:rPr>
          <w:color w:val="0070C0"/>
          <w:u w:val="thick"/>
        </w:rPr>
      </w:pPr>
      <w:r w:rsidRPr="009A2CFF">
        <w:rPr>
          <w:color w:val="0070C0"/>
          <w:u w:val="thick"/>
        </w:rPr>
        <w:t>_____________________________________________________</w:t>
      </w:r>
    </w:p>
    <w:p w:rsidR="00FF5E18" w:rsidRPr="00ED0A13" w:rsidRDefault="001B6ADC" w:rsidP="00984CB0">
      <w:pPr>
        <w:shd w:val="clear" w:color="auto" w:fill="FFFFFF"/>
        <w:spacing w:after="24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5C70A3">
        <w:rPr>
          <w:rFonts w:ascii="Arial" w:eastAsia="Times New Roman" w:hAnsi="Arial" w:cs="Arial"/>
          <w:color w:val="000000"/>
          <w:sz w:val="24"/>
          <w:szCs w:val="24"/>
        </w:rPr>
        <w:t>Charlotte County</w:t>
      </w:r>
      <w:r w:rsidR="00FF5E18" w:rsidRPr="00ED0A13">
        <w:rPr>
          <w:rFonts w:ascii="Arial" w:eastAsia="Times New Roman" w:hAnsi="Arial" w:cs="Arial"/>
          <w:color w:val="000000"/>
          <w:sz w:val="24"/>
          <w:szCs w:val="24"/>
        </w:rPr>
        <w:t xml:space="preserve"> Circuit </w:t>
      </w:r>
      <w:r>
        <w:rPr>
          <w:rFonts w:ascii="Arial" w:eastAsia="Times New Roman" w:hAnsi="Arial" w:cs="Arial"/>
          <w:color w:val="000000"/>
          <w:sz w:val="24"/>
          <w:szCs w:val="24"/>
        </w:rPr>
        <w:t>Court, with funding from Charlotte</w:t>
      </w:r>
      <w:r w:rsidR="00FF5E18" w:rsidRPr="00ED0A13">
        <w:rPr>
          <w:rFonts w:ascii="Arial" w:eastAsia="Times New Roman" w:hAnsi="Arial" w:cs="Arial"/>
          <w:color w:val="000000"/>
          <w:sz w:val="24"/>
          <w:szCs w:val="24"/>
        </w:rPr>
        <w:t xml:space="preserve"> County</w:t>
      </w:r>
      <w:r w:rsidR="00B059F2">
        <w:rPr>
          <w:rFonts w:ascii="Arial" w:eastAsia="Times New Roman" w:hAnsi="Arial" w:cs="Arial"/>
          <w:color w:val="000000"/>
          <w:sz w:val="24"/>
          <w:szCs w:val="24"/>
        </w:rPr>
        <w:t xml:space="preserve"> Board of County C</w:t>
      </w:r>
      <w:r w:rsidR="00860DA8">
        <w:rPr>
          <w:rFonts w:ascii="Arial" w:eastAsia="Times New Roman" w:hAnsi="Arial" w:cs="Arial"/>
          <w:color w:val="000000"/>
          <w:sz w:val="24"/>
          <w:szCs w:val="24"/>
        </w:rPr>
        <w:t>o</w:t>
      </w:r>
      <w:r w:rsidR="00B059F2">
        <w:rPr>
          <w:rFonts w:ascii="Arial" w:eastAsia="Times New Roman" w:hAnsi="Arial" w:cs="Arial"/>
          <w:color w:val="000000"/>
          <w:sz w:val="24"/>
          <w:szCs w:val="24"/>
        </w:rPr>
        <w:t>mmissioners</w:t>
      </w:r>
      <w:r>
        <w:rPr>
          <w:rFonts w:ascii="Arial" w:eastAsia="Times New Roman" w:hAnsi="Arial" w:cs="Arial"/>
          <w:color w:val="000000"/>
          <w:sz w:val="24"/>
          <w:szCs w:val="24"/>
        </w:rPr>
        <w:t>,</w:t>
      </w:r>
      <w:r w:rsidR="00FF5E18" w:rsidRPr="00ED0A13">
        <w:rPr>
          <w:rFonts w:ascii="Arial" w:eastAsia="Times New Roman" w:hAnsi="Arial" w:cs="Arial"/>
          <w:color w:val="000000"/>
          <w:sz w:val="24"/>
          <w:szCs w:val="24"/>
        </w:rPr>
        <w:t xml:space="preserve"> has established a Guardianship Monitor Program.  As part of tha</w:t>
      </w:r>
      <w:r w:rsidR="002F7249">
        <w:rPr>
          <w:rFonts w:ascii="Arial" w:eastAsia="Times New Roman" w:hAnsi="Arial" w:cs="Arial"/>
          <w:color w:val="000000"/>
          <w:sz w:val="24"/>
          <w:szCs w:val="24"/>
        </w:rPr>
        <w:t xml:space="preserve">t program, there is a hotline </w:t>
      </w:r>
      <w:r w:rsidR="00FF5E18" w:rsidRPr="00ED0A13">
        <w:rPr>
          <w:rFonts w:ascii="Arial" w:eastAsia="Times New Roman" w:hAnsi="Arial" w:cs="Arial"/>
          <w:color w:val="000000"/>
          <w:sz w:val="24"/>
          <w:szCs w:val="24"/>
        </w:rPr>
        <w:t>number where anyone can report</w:t>
      </w:r>
      <w:r>
        <w:rPr>
          <w:rFonts w:ascii="Arial" w:eastAsia="Times New Roman" w:hAnsi="Arial" w:cs="Arial"/>
          <w:color w:val="000000"/>
          <w:sz w:val="24"/>
          <w:szCs w:val="24"/>
        </w:rPr>
        <w:t xml:space="preserve"> concerns regarding any Charlotte</w:t>
      </w:r>
      <w:r w:rsidR="00FF5E18" w:rsidRPr="00ED0A13">
        <w:rPr>
          <w:rFonts w:ascii="Arial" w:eastAsia="Times New Roman" w:hAnsi="Arial" w:cs="Arial"/>
          <w:color w:val="000000"/>
          <w:sz w:val="24"/>
          <w:szCs w:val="24"/>
        </w:rPr>
        <w:t xml:space="preserve"> County Guardianship case.  </w:t>
      </w:r>
    </w:p>
    <w:p w:rsidR="002F7249" w:rsidRDefault="002F7249" w:rsidP="00FF5E18">
      <w:pPr>
        <w:shd w:val="clear" w:color="auto" w:fill="FFFFFF"/>
        <w:spacing w:after="0" w:line="240" w:lineRule="auto"/>
        <w:jc w:val="center"/>
        <w:rPr>
          <w:rFonts w:ascii="Arial" w:eastAsia="Times New Roman" w:hAnsi="Arial" w:cs="Arial"/>
          <w:b/>
          <w:bCs/>
          <w:color w:val="FF0000"/>
          <w:sz w:val="36"/>
          <w:szCs w:val="36"/>
        </w:rPr>
      </w:pPr>
      <w:r>
        <w:rPr>
          <w:rFonts w:ascii="Arial" w:eastAsia="Times New Roman" w:hAnsi="Arial" w:cs="Arial"/>
          <w:b/>
          <w:bCs/>
          <w:color w:val="FF0000"/>
          <w:sz w:val="36"/>
          <w:szCs w:val="36"/>
        </w:rPr>
        <w:t>*** IF IT IS AN EMERGENCY, CALLERS WILL BE INSTRUCTED TO HANG UP AND CALL 911 FIRST ***</w:t>
      </w:r>
    </w:p>
    <w:p w:rsidR="002F7249" w:rsidRDefault="002F7249" w:rsidP="00FF5E18">
      <w:pPr>
        <w:shd w:val="clear" w:color="auto" w:fill="FFFFFF"/>
        <w:spacing w:after="0" w:line="240" w:lineRule="auto"/>
        <w:jc w:val="center"/>
        <w:rPr>
          <w:rFonts w:ascii="Arial" w:eastAsia="Times New Roman" w:hAnsi="Arial" w:cs="Arial"/>
          <w:b/>
          <w:bCs/>
          <w:color w:val="FF0000"/>
          <w:sz w:val="36"/>
          <w:szCs w:val="36"/>
        </w:rPr>
      </w:pPr>
    </w:p>
    <w:p w:rsidR="002F7249" w:rsidRPr="002F7249" w:rsidRDefault="002F7249" w:rsidP="00FF5E18">
      <w:pPr>
        <w:shd w:val="clear" w:color="auto" w:fill="FFFFFF"/>
        <w:spacing w:after="0" w:line="240" w:lineRule="auto"/>
        <w:jc w:val="center"/>
        <w:rPr>
          <w:rFonts w:ascii="Arial" w:eastAsia="Times New Roman" w:hAnsi="Arial" w:cs="Arial"/>
          <w:b/>
          <w:bCs/>
          <w:color w:val="FF0000"/>
        </w:rPr>
      </w:pPr>
      <w:r w:rsidRPr="002F7249">
        <w:rPr>
          <w:rFonts w:ascii="Arial" w:eastAsia="Times New Roman" w:hAnsi="Arial" w:cs="Arial"/>
          <w:b/>
          <w:bCs/>
          <w:color w:val="002060"/>
        </w:rPr>
        <w:t>Guardianship Hotline</w:t>
      </w:r>
      <w:bookmarkStart w:id="0" w:name="_GoBack"/>
      <w:bookmarkEnd w:id="0"/>
    </w:p>
    <w:p w:rsidR="00FF5E18" w:rsidRPr="002F7249" w:rsidRDefault="002F7249" w:rsidP="00FF5E18">
      <w:pPr>
        <w:shd w:val="clear" w:color="auto" w:fill="FFFFFF"/>
        <w:spacing w:after="0" w:line="240" w:lineRule="auto"/>
        <w:jc w:val="center"/>
        <w:rPr>
          <w:rFonts w:ascii="Arial" w:eastAsia="Times New Roman" w:hAnsi="Arial" w:cs="Arial"/>
          <w:color w:val="002060"/>
          <w:sz w:val="24"/>
          <w:szCs w:val="24"/>
        </w:rPr>
      </w:pPr>
      <w:r w:rsidRPr="002F7249">
        <w:rPr>
          <w:rFonts w:ascii="Arial" w:eastAsia="Times New Roman" w:hAnsi="Arial" w:cs="Arial"/>
          <w:b/>
          <w:bCs/>
          <w:color w:val="002060"/>
          <w:sz w:val="36"/>
          <w:szCs w:val="36"/>
        </w:rPr>
        <w:t>(941) 769-1275</w:t>
      </w:r>
    </w:p>
    <w:p w:rsidR="00984CB0" w:rsidRDefault="002F7249" w:rsidP="001619AF">
      <w:pPr>
        <w:shd w:val="clear" w:color="auto" w:fill="FFFFFF"/>
        <w:spacing w:after="0" w:line="240" w:lineRule="auto"/>
        <w:jc w:val="both"/>
        <w:rPr>
          <w:rFonts w:ascii="Arial" w:eastAsia="Times New Roman" w:hAnsi="Arial" w:cs="Arial"/>
          <w:color w:val="auto"/>
          <w:sz w:val="24"/>
          <w:szCs w:val="24"/>
        </w:rPr>
      </w:pPr>
      <w:r>
        <w:rPr>
          <w:rFonts w:ascii="Arial" w:eastAsia="Times New Roman" w:hAnsi="Arial" w:cs="Arial"/>
          <w:color w:val="000000"/>
          <w:sz w:val="24"/>
          <w:szCs w:val="24"/>
        </w:rPr>
        <w:br/>
        <w:t xml:space="preserve">Calls to the </w:t>
      </w:r>
      <w:r w:rsidR="00FF5E18" w:rsidRPr="00ED0A13">
        <w:rPr>
          <w:rFonts w:ascii="Arial" w:eastAsia="Times New Roman" w:hAnsi="Arial" w:cs="Arial"/>
          <w:color w:val="000000"/>
          <w:sz w:val="24"/>
          <w:szCs w:val="24"/>
        </w:rPr>
        <w:t>hotline can remain anonymous and when sufficient information to proceed is provided, an investigation of the guardianship will be initiated.  If someone prefers to report directly and not use the hot</w:t>
      </w:r>
      <w:r w:rsidR="00984CB0">
        <w:rPr>
          <w:rFonts w:ascii="Arial" w:eastAsia="Times New Roman" w:hAnsi="Arial" w:cs="Arial"/>
          <w:color w:val="000000"/>
          <w:sz w:val="24"/>
          <w:szCs w:val="24"/>
        </w:rPr>
        <w:t xml:space="preserve">line, they </w:t>
      </w:r>
      <w:r w:rsidR="001B6ADC">
        <w:rPr>
          <w:rFonts w:ascii="Arial" w:eastAsia="Times New Roman" w:hAnsi="Arial" w:cs="Arial"/>
          <w:color w:val="000000"/>
          <w:sz w:val="24"/>
          <w:szCs w:val="24"/>
        </w:rPr>
        <w:t xml:space="preserve">may go to the </w:t>
      </w:r>
      <w:r w:rsidR="00984CB0">
        <w:rPr>
          <w:rFonts w:ascii="Arial" w:eastAsia="Times New Roman" w:hAnsi="Arial" w:cs="Arial"/>
          <w:color w:val="000000"/>
          <w:sz w:val="24"/>
          <w:szCs w:val="24"/>
        </w:rPr>
        <w:t>Administrative Office of the Courts, located at 3</w:t>
      </w:r>
      <w:r w:rsidR="001B6ADC">
        <w:rPr>
          <w:rFonts w:ascii="Arial" w:eastAsia="Times New Roman" w:hAnsi="Arial" w:cs="Arial"/>
          <w:color w:val="auto"/>
          <w:sz w:val="24"/>
          <w:szCs w:val="24"/>
        </w:rPr>
        <w:t>50 East Marion Avenue, Punta Gorda, Florida  33950</w:t>
      </w:r>
      <w:r w:rsidR="00984CB0">
        <w:rPr>
          <w:rFonts w:ascii="Arial" w:eastAsia="Times New Roman" w:hAnsi="Arial" w:cs="Arial"/>
          <w:color w:val="auto"/>
          <w:sz w:val="24"/>
          <w:szCs w:val="24"/>
        </w:rPr>
        <w:t>.</w:t>
      </w:r>
    </w:p>
    <w:p w:rsidR="000527D7" w:rsidRPr="001619AF" w:rsidRDefault="000527D7" w:rsidP="001619AF">
      <w:pPr>
        <w:shd w:val="clear" w:color="auto" w:fill="FFFFFF"/>
        <w:spacing w:after="0" w:line="240" w:lineRule="auto"/>
        <w:jc w:val="both"/>
        <w:rPr>
          <w:rFonts w:ascii="Arial" w:eastAsia="Times New Roman" w:hAnsi="Arial" w:cs="Arial"/>
          <w:b/>
          <w:color w:val="0070C0"/>
          <w:sz w:val="32"/>
          <w:szCs w:val="32"/>
        </w:rPr>
      </w:pPr>
      <w:r w:rsidRPr="001619AF">
        <w:rPr>
          <w:rFonts w:ascii="Arial" w:eastAsia="Times New Roman" w:hAnsi="Arial" w:cs="Arial"/>
          <w:b/>
          <w:color w:val="0070C0"/>
          <w:sz w:val="32"/>
          <w:szCs w:val="32"/>
        </w:rPr>
        <w:t>______________________________________________</w:t>
      </w:r>
      <w:r w:rsidR="008F33BE" w:rsidRPr="001619AF">
        <w:rPr>
          <w:rFonts w:ascii="Arial" w:eastAsia="Times New Roman" w:hAnsi="Arial" w:cs="Arial"/>
          <w:b/>
          <w:color w:val="0070C0"/>
          <w:sz w:val="32"/>
          <w:szCs w:val="32"/>
        </w:rPr>
        <w:t>______________</w:t>
      </w:r>
    </w:p>
    <w:p w:rsidR="00172475" w:rsidRPr="00172475" w:rsidRDefault="00172475" w:rsidP="000527D7">
      <w:pPr>
        <w:pStyle w:val="NoSpacing"/>
        <w:rPr>
          <w:rFonts w:asciiTheme="majorHAnsi" w:hAnsiTheme="majorHAnsi" w:cstheme="majorHAnsi"/>
          <w:b/>
          <w:color w:val="E76A1D" w:themeColor="accent1"/>
          <w:sz w:val="24"/>
          <w:szCs w:val="24"/>
        </w:rPr>
      </w:pPr>
    </w:p>
    <w:p w:rsidR="00172475" w:rsidRPr="00172475" w:rsidRDefault="00172475" w:rsidP="000527D7">
      <w:pPr>
        <w:pStyle w:val="NoSpacing"/>
        <w:rPr>
          <w:rFonts w:asciiTheme="majorHAnsi" w:hAnsiTheme="majorHAnsi" w:cstheme="majorHAnsi"/>
          <w:b/>
          <w:color w:val="E76A1D" w:themeColor="accent1"/>
          <w:sz w:val="24"/>
          <w:szCs w:val="24"/>
        </w:rPr>
      </w:pPr>
      <w:r w:rsidRPr="00172475">
        <w:rPr>
          <w:rFonts w:asciiTheme="majorHAnsi" w:hAnsiTheme="majorHAnsi" w:cstheme="majorHAnsi"/>
          <w:b/>
          <w:color w:val="E76A1D" w:themeColor="accent1"/>
          <w:sz w:val="24"/>
          <w:szCs w:val="24"/>
        </w:rPr>
        <w:t>GUARDIANSHIP CASE REVIEWS</w:t>
      </w:r>
    </w:p>
    <w:p w:rsidR="00172475" w:rsidRDefault="00172475" w:rsidP="000527D7">
      <w:pPr>
        <w:pStyle w:val="NoSpacing"/>
        <w:rPr>
          <w:rFonts w:ascii="Arial" w:hAnsi="Arial" w:cs="Arial"/>
          <w:color w:val="000000" w:themeColor="text1"/>
          <w:sz w:val="24"/>
          <w:szCs w:val="24"/>
        </w:rPr>
      </w:pPr>
    </w:p>
    <w:p w:rsidR="00B059F2" w:rsidRDefault="00B059F2" w:rsidP="008178A6">
      <w:pPr>
        <w:spacing w:before="240"/>
        <w:jc w:val="both"/>
        <w:rPr>
          <w:rFonts w:ascii="Arial" w:hAnsi="Arial" w:cs="Arial"/>
          <w:color w:val="000000" w:themeColor="text1"/>
          <w:sz w:val="24"/>
          <w:szCs w:val="24"/>
        </w:rPr>
      </w:pPr>
      <w:r>
        <w:rPr>
          <w:rFonts w:ascii="Arial" w:hAnsi="Arial" w:cs="Arial"/>
          <w:color w:val="000000" w:themeColor="text1"/>
          <w:sz w:val="24"/>
          <w:szCs w:val="24"/>
        </w:rPr>
        <w:t>It is the Court’s goal to accomplish the following:</w:t>
      </w:r>
    </w:p>
    <w:p w:rsidR="00B059F2" w:rsidRDefault="00B059F2" w:rsidP="00B059F2">
      <w:pPr>
        <w:pStyle w:val="ListParagraph"/>
        <w:numPr>
          <w:ilvl w:val="0"/>
          <w:numId w:val="10"/>
        </w:numPr>
        <w:spacing w:before="240"/>
        <w:jc w:val="both"/>
        <w:rPr>
          <w:rFonts w:ascii="Arial" w:hAnsi="Arial" w:cs="Arial"/>
          <w:color w:val="000000" w:themeColor="text1"/>
          <w:sz w:val="24"/>
          <w:szCs w:val="24"/>
        </w:rPr>
      </w:pPr>
      <w:r>
        <w:rPr>
          <w:rFonts w:ascii="Arial" w:hAnsi="Arial" w:cs="Arial"/>
          <w:color w:val="000000" w:themeColor="text1"/>
          <w:sz w:val="24"/>
          <w:szCs w:val="24"/>
        </w:rPr>
        <w:t>To have some transparency to the guardianship monitoring process</w:t>
      </w:r>
    </w:p>
    <w:p w:rsidR="00B059F2" w:rsidRPr="00B059F2" w:rsidRDefault="00B059F2" w:rsidP="008178A6">
      <w:pPr>
        <w:pStyle w:val="ListParagraph"/>
        <w:numPr>
          <w:ilvl w:val="0"/>
          <w:numId w:val="10"/>
        </w:numPr>
        <w:spacing w:before="240"/>
        <w:jc w:val="both"/>
        <w:rPr>
          <w:rFonts w:ascii="Arial" w:hAnsi="Arial" w:cs="Arial"/>
          <w:color w:val="000000" w:themeColor="text1"/>
          <w:sz w:val="24"/>
          <w:szCs w:val="24"/>
        </w:rPr>
      </w:pPr>
      <w:r>
        <w:rPr>
          <w:rFonts w:ascii="Arial" w:hAnsi="Arial" w:cs="Arial"/>
          <w:color w:val="000000" w:themeColor="text1"/>
          <w:sz w:val="24"/>
          <w:szCs w:val="24"/>
        </w:rPr>
        <w:t>To have evidence that the Court is taking an active role in oversight</w:t>
      </w:r>
    </w:p>
    <w:p w:rsidR="00B059F2" w:rsidRDefault="00D560A2" w:rsidP="00E56D7C">
      <w:pPr>
        <w:spacing w:before="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192A50">
        <w:rPr>
          <w:rFonts w:ascii="Arial" w:hAnsi="Arial" w:cs="Arial"/>
          <w:color w:val="000000" w:themeColor="text1"/>
          <w:sz w:val="24"/>
          <w:szCs w:val="24"/>
        </w:rPr>
        <w:t xml:space="preserve">Court </w:t>
      </w:r>
      <w:r w:rsidR="008178A6">
        <w:rPr>
          <w:rFonts w:ascii="Arial" w:hAnsi="Arial" w:cs="Arial"/>
          <w:color w:val="000000" w:themeColor="text1"/>
          <w:sz w:val="24"/>
          <w:szCs w:val="24"/>
        </w:rPr>
        <w:t xml:space="preserve">has a dedicated mechanism in place for conducting </w:t>
      </w:r>
      <w:r w:rsidR="00B059F2">
        <w:rPr>
          <w:rFonts w:ascii="Arial" w:hAnsi="Arial" w:cs="Arial"/>
          <w:color w:val="000000" w:themeColor="text1"/>
          <w:sz w:val="24"/>
          <w:szCs w:val="24"/>
        </w:rPr>
        <w:t>ongoing g</w:t>
      </w:r>
      <w:r>
        <w:rPr>
          <w:rFonts w:ascii="Arial" w:hAnsi="Arial" w:cs="Arial"/>
          <w:color w:val="000000" w:themeColor="text1"/>
          <w:sz w:val="24"/>
          <w:szCs w:val="24"/>
        </w:rPr>
        <w:t>uardia</w:t>
      </w:r>
      <w:r w:rsidR="001B6ADC">
        <w:rPr>
          <w:rFonts w:ascii="Arial" w:hAnsi="Arial" w:cs="Arial"/>
          <w:color w:val="000000" w:themeColor="text1"/>
          <w:sz w:val="24"/>
          <w:szCs w:val="24"/>
        </w:rPr>
        <w:t>ns</w:t>
      </w:r>
      <w:r w:rsidR="00B059F2">
        <w:rPr>
          <w:rFonts w:ascii="Arial" w:hAnsi="Arial" w:cs="Arial"/>
          <w:color w:val="000000" w:themeColor="text1"/>
          <w:sz w:val="24"/>
          <w:szCs w:val="24"/>
        </w:rPr>
        <w:t>hip case r</w:t>
      </w:r>
      <w:r w:rsidR="008178A6">
        <w:rPr>
          <w:rFonts w:ascii="Arial" w:hAnsi="Arial" w:cs="Arial"/>
          <w:color w:val="000000" w:themeColor="text1"/>
          <w:sz w:val="24"/>
          <w:szCs w:val="24"/>
        </w:rPr>
        <w:t xml:space="preserve">eviews. </w:t>
      </w:r>
      <w:r w:rsidR="00B059F2">
        <w:rPr>
          <w:rFonts w:ascii="Arial" w:hAnsi="Arial" w:cs="Arial"/>
          <w:color w:val="000000" w:themeColor="text1"/>
          <w:sz w:val="24"/>
          <w:szCs w:val="24"/>
        </w:rPr>
        <w:t>The Court Guardianship Monitor has compiled a spreadsheet to assist in monitoring all open guardianship cases.  Based on a rando</w:t>
      </w:r>
      <w:r w:rsidR="00C851FB">
        <w:rPr>
          <w:rFonts w:ascii="Arial" w:hAnsi="Arial" w:cs="Arial"/>
          <w:color w:val="000000" w:themeColor="text1"/>
          <w:sz w:val="24"/>
          <w:szCs w:val="24"/>
        </w:rPr>
        <w:t>m selection, the Court may</w:t>
      </w:r>
      <w:r w:rsidR="00B059F2">
        <w:rPr>
          <w:rFonts w:ascii="Arial" w:hAnsi="Arial" w:cs="Arial"/>
          <w:color w:val="000000" w:themeColor="text1"/>
          <w:sz w:val="24"/>
          <w:szCs w:val="24"/>
        </w:rPr>
        <w:t xml:space="preserve"> appoint the Court Guardianship Monitor to review existing open cases.</w:t>
      </w:r>
      <w:r w:rsidR="008178A6">
        <w:rPr>
          <w:rFonts w:ascii="Arial" w:hAnsi="Arial" w:cs="Arial"/>
          <w:color w:val="000000" w:themeColor="text1"/>
          <w:sz w:val="24"/>
          <w:szCs w:val="24"/>
        </w:rPr>
        <w:t xml:space="preserve"> </w:t>
      </w:r>
      <w:r w:rsidR="00B059F2">
        <w:rPr>
          <w:rFonts w:ascii="Arial" w:hAnsi="Arial" w:cs="Arial"/>
          <w:color w:val="000000" w:themeColor="text1"/>
          <w:sz w:val="24"/>
          <w:szCs w:val="24"/>
        </w:rPr>
        <w:t xml:space="preserve">The Court may </w:t>
      </w:r>
      <w:r w:rsidR="00C851FB">
        <w:rPr>
          <w:rFonts w:ascii="Arial" w:hAnsi="Arial" w:cs="Arial"/>
          <w:color w:val="000000" w:themeColor="text1"/>
          <w:sz w:val="24"/>
          <w:szCs w:val="24"/>
        </w:rPr>
        <w:t xml:space="preserve">also, </w:t>
      </w:r>
      <w:r w:rsidR="00B059F2">
        <w:rPr>
          <w:rFonts w:ascii="Arial" w:hAnsi="Arial" w:cs="Arial"/>
          <w:color w:val="000000" w:themeColor="text1"/>
          <w:sz w:val="24"/>
          <w:szCs w:val="24"/>
        </w:rPr>
        <w:t>on its own motion, or by recommendation of the Court Guardianship Monitor</w:t>
      </w:r>
      <w:r w:rsidR="00C851FB">
        <w:rPr>
          <w:rFonts w:ascii="Arial" w:hAnsi="Arial" w:cs="Arial"/>
          <w:color w:val="000000" w:themeColor="text1"/>
          <w:sz w:val="24"/>
          <w:szCs w:val="24"/>
        </w:rPr>
        <w:t>, set a case for a status hearing.  The purpose of these procedures</w:t>
      </w:r>
      <w:r w:rsidR="00C851FB" w:rsidRPr="00172475">
        <w:rPr>
          <w:rFonts w:ascii="Arial" w:hAnsi="Arial" w:cs="Arial"/>
          <w:color w:val="000000" w:themeColor="text1"/>
          <w:sz w:val="24"/>
          <w:szCs w:val="24"/>
        </w:rPr>
        <w:t xml:space="preserve"> is to </w:t>
      </w:r>
      <w:r w:rsidR="00C851FB">
        <w:rPr>
          <w:rFonts w:ascii="Arial" w:hAnsi="Arial" w:cs="Arial"/>
          <w:color w:val="auto"/>
          <w:sz w:val="24"/>
          <w:szCs w:val="24"/>
        </w:rPr>
        <w:t>ensure s</w:t>
      </w:r>
      <w:r w:rsidR="00C851FB">
        <w:rPr>
          <w:rFonts w:ascii="Arial" w:hAnsi="Arial" w:cs="Arial"/>
          <w:color w:val="000000" w:themeColor="text1"/>
          <w:sz w:val="24"/>
          <w:szCs w:val="24"/>
        </w:rPr>
        <w:t>tatutory co</w:t>
      </w:r>
      <w:r w:rsidR="00C851FB" w:rsidRPr="00172475">
        <w:rPr>
          <w:rFonts w:ascii="Arial" w:hAnsi="Arial" w:cs="Arial"/>
          <w:color w:val="000000" w:themeColor="text1"/>
          <w:sz w:val="24"/>
          <w:szCs w:val="24"/>
        </w:rPr>
        <w:t xml:space="preserve">mpliance </w:t>
      </w:r>
      <w:r w:rsidR="00C851FB">
        <w:rPr>
          <w:rFonts w:ascii="Arial" w:hAnsi="Arial" w:cs="Arial"/>
          <w:color w:val="000000" w:themeColor="text1"/>
          <w:sz w:val="24"/>
          <w:szCs w:val="24"/>
        </w:rPr>
        <w:t xml:space="preserve">with the filing of the plans and accountings, as well as assuring that the needs of the Ward are continuing to be met.  </w:t>
      </w:r>
    </w:p>
    <w:p w:rsidR="00C851FB" w:rsidRDefault="00C851FB" w:rsidP="008178A6">
      <w:pPr>
        <w:spacing w:before="240"/>
        <w:jc w:val="both"/>
        <w:rPr>
          <w:rFonts w:ascii="Arial" w:hAnsi="Arial" w:cs="Arial"/>
          <w:color w:val="000000" w:themeColor="text1"/>
          <w:sz w:val="24"/>
          <w:szCs w:val="24"/>
        </w:rPr>
      </w:pPr>
    </w:p>
    <w:p w:rsidR="007A27AA" w:rsidRDefault="00C851FB" w:rsidP="00E56D7C">
      <w:pPr>
        <w:spacing w:before="24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Next of kin may</w:t>
      </w:r>
      <w:r w:rsidR="00984CB0">
        <w:rPr>
          <w:rFonts w:ascii="Arial" w:hAnsi="Arial" w:cs="Arial"/>
          <w:color w:val="000000" w:themeColor="text1"/>
          <w:sz w:val="24"/>
          <w:szCs w:val="24"/>
        </w:rPr>
        <w:t xml:space="preserve"> also be notified by the Court Guardianship Monitor of </w:t>
      </w:r>
      <w:r w:rsidR="001124AC">
        <w:rPr>
          <w:rFonts w:ascii="Arial" w:hAnsi="Arial" w:cs="Arial"/>
          <w:color w:val="000000" w:themeColor="text1"/>
          <w:sz w:val="24"/>
          <w:szCs w:val="24"/>
        </w:rPr>
        <w:t>her appointment to the case, and the Court may, at any proceeding, inquire about relative notification.</w:t>
      </w:r>
    </w:p>
    <w:p w:rsidR="001124AC" w:rsidRPr="001124AC" w:rsidRDefault="001124AC" w:rsidP="00E56D7C">
      <w:pPr>
        <w:spacing w:before="240" w:line="360" w:lineRule="auto"/>
        <w:jc w:val="both"/>
        <w:rPr>
          <w:rFonts w:ascii="Arial" w:hAnsi="Arial" w:cs="Arial"/>
          <w:color w:val="000000" w:themeColor="text1"/>
          <w:sz w:val="24"/>
          <w:szCs w:val="24"/>
        </w:rPr>
      </w:pPr>
      <w:r>
        <w:rPr>
          <w:rFonts w:ascii="Arial" w:hAnsi="Arial" w:cs="Arial"/>
          <w:color w:val="000000" w:themeColor="text1"/>
          <w:sz w:val="24"/>
          <w:szCs w:val="24"/>
        </w:rPr>
        <w:t>The Court may discharge the Court Guardianship Monitor on its own motion or upon recommendation by the Court Guardianship Monitor.</w:t>
      </w:r>
    </w:p>
    <w:p w:rsidR="00EA51C3" w:rsidRPr="001619AF" w:rsidRDefault="00B059F2" w:rsidP="00192A50">
      <w:pPr>
        <w:jc w:val="both"/>
        <w:rPr>
          <w:rFonts w:ascii="Arial" w:hAnsi="Arial" w:cs="Arial"/>
          <w:b/>
          <w:color w:val="0070C0"/>
          <w:sz w:val="32"/>
          <w:szCs w:val="32"/>
        </w:rPr>
      </w:pPr>
      <w:r>
        <w:rPr>
          <w:rFonts w:ascii="Arial" w:hAnsi="Arial" w:cs="Arial"/>
          <w:b/>
          <w:color w:val="0070C0"/>
          <w:sz w:val="32"/>
          <w:szCs w:val="32"/>
        </w:rPr>
        <w:t>_</w:t>
      </w:r>
      <w:r w:rsidR="00EA51C3" w:rsidRPr="001619AF">
        <w:rPr>
          <w:rFonts w:ascii="Arial" w:hAnsi="Arial" w:cs="Arial"/>
          <w:b/>
          <w:color w:val="0070C0"/>
          <w:sz w:val="32"/>
          <w:szCs w:val="32"/>
        </w:rPr>
        <w:t>___________________________________________________________</w:t>
      </w:r>
    </w:p>
    <w:p w:rsidR="00EA51C3" w:rsidRPr="00EA51C3" w:rsidRDefault="00EA51C3" w:rsidP="00192A50">
      <w:pPr>
        <w:jc w:val="both"/>
        <w:rPr>
          <w:rFonts w:ascii="Arial" w:hAnsi="Arial" w:cs="Arial"/>
          <w:b/>
          <w:color w:val="E76A1D" w:themeColor="accent1"/>
          <w:sz w:val="24"/>
          <w:szCs w:val="24"/>
        </w:rPr>
      </w:pPr>
      <w:r>
        <w:rPr>
          <w:rFonts w:ascii="Arial" w:hAnsi="Arial" w:cs="Arial"/>
          <w:b/>
          <w:color w:val="E76A1D" w:themeColor="accent1"/>
          <w:sz w:val="24"/>
          <w:szCs w:val="24"/>
        </w:rPr>
        <w:t>INVESTIGATION OF GUARDIANSHIPS</w:t>
      </w:r>
    </w:p>
    <w:p w:rsidR="00172318" w:rsidRPr="00172475" w:rsidRDefault="00172318" w:rsidP="00E56D7C">
      <w:pPr>
        <w:pStyle w:val="NoSpacing"/>
        <w:spacing w:line="360" w:lineRule="auto"/>
        <w:jc w:val="both"/>
        <w:rPr>
          <w:rFonts w:ascii="Arial" w:hAnsi="Arial" w:cs="Arial"/>
          <w:color w:val="auto"/>
          <w:sz w:val="24"/>
          <w:szCs w:val="24"/>
        </w:rPr>
      </w:pPr>
      <w:r w:rsidRPr="00172475">
        <w:rPr>
          <w:rFonts w:ascii="Arial" w:hAnsi="Arial" w:cs="Arial"/>
          <w:color w:val="auto"/>
          <w:sz w:val="24"/>
          <w:szCs w:val="24"/>
        </w:rPr>
        <w:t>During the pendency</w:t>
      </w:r>
      <w:r w:rsidR="001124AC">
        <w:rPr>
          <w:rFonts w:ascii="Arial" w:hAnsi="Arial" w:cs="Arial"/>
          <w:color w:val="auto"/>
          <w:sz w:val="24"/>
          <w:szCs w:val="24"/>
        </w:rPr>
        <w:t xml:space="preserve"> of monitoring all open</w:t>
      </w:r>
      <w:r w:rsidRPr="00172475">
        <w:rPr>
          <w:rFonts w:ascii="Arial" w:hAnsi="Arial" w:cs="Arial"/>
          <w:color w:val="auto"/>
          <w:sz w:val="24"/>
          <w:szCs w:val="24"/>
        </w:rPr>
        <w:t xml:space="preserve"> cases</w:t>
      </w:r>
      <w:r w:rsidR="00EA51C3">
        <w:rPr>
          <w:rFonts w:ascii="Arial" w:hAnsi="Arial" w:cs="Arial"/>
          <w:color w:val="auto"/>
          <w:sz w:val="24"/>
          <w:szCs w:val="24"/>
        </w:rPr>
        <w:t>,</w:t>
      </w:r>
      <w:r w:rsidR="00A100EC">
        <w:rPr>
          <w:rFonts w:ascii="Arial" w:hAnsi="Arial" w:cs="Arial"/>
          <w:color w:val="auto"/>
          <w:sz w:val="24"/>
          <w:szCs w:val="24"/>
        </w:rPr>
        <w:t xml:space="preserve"> the need may arise fo</w:t>
      </w:r>
      <w:r w:rsidRPr="00172475">
        <w:rPr>
          <w:rFonts w:ascii="Arial" w:hAnsi="Arial" w:cs="Arial"/>
          <w:color w:val="auto"/>
          <w:sz w:val="24"/>
          <w:szCs w:val="24"/>
        </w:rPr>
        <w:t>r a more in</w:t>
      </w:r>
      <w:r w:rsidR="001B6ADC">
        <w:rPr>
          <w:rFonts w:ascii="Arial" w:hAnsi="Arial" w:cs="Arial"/>
          <w:color w:val="auto"/>
          <w:sz w:val="24"/>
          <w:szCs w:val="24"/>
        </w:rPr>
        <w:t>-</w:t>
      </w:r>
      <w:r w:rsidRPr="00172475">
        <w:rPr>
          <w:rFonts w:ascii="Arial" w:hAnsi="Arial" w:cs="Arial"/>
          <w:color w:val="auto"/>
          <w:sz w:val="24"/>
          <w:szCs w:val="24"/>
        </w:rPr>
        <w:t>depth investigation of the Guardianshi</w:t>
      </w:r>
      <w:r w:rsidR="00A100EC">
        <w:rPr>
          <w:rFonts w:ascii="Arial" w:hAnsi="Arial" w:cs="Arial"/>
          <w:color w:val="auto"/>
          <w:sz w:val="24"/>
          <w:szCs w:val="24"/>
        </w:rPr>
        <w:t>p.  An</w:t>
      </w:r>
      <w:r w:rsidR="00163A69">
        <w:rPr>
          <w:rFonts w:ascii="Arial" w:hAnsi="Arial" w:cs="Arial"/>
          <w:color w:val="auto"/>
          <w:sz w:val="24"/>
          <w:szCs w:val="24"/>
        </w:rPr>
        <w:t xml:space="preserve"> inves</w:t>
      </w:r>
      <w:r w:rsidR="00A100EC">
        <w:rPr>
          <w:rFonts w:ascii="Arial" w:hAnsi="Arial" w:cs="Arial"/>
          <w:color w:val="auto"/>
          <w:sz w:val="24"/>
          <w:szCs w:val="24"/>
        </w:rPr>
        <w:t>tigation could be initiated as a result of any of the</w:t>
      </w:r>
      <w:r w:rsidR="00163A69">
        <w:rPr>
          <w:rFonts w:ascii="Arial" w:hAnsi="Arial" w:cs="Arial"/>
          <w:color w:val="auto"/>
          <w:sz w:val="24"/>
          <w:szCs w:val="24"/>
        </w:rPr>
        <w:t xml:space="preserve"> following:</w:t>
      </w:r>
    </w:p>
    <w:p w:rsidR="00172318" w:rsidRPr="00172475" w:rsidRDefault="00172318" w:rsidP="00E56D7C">
      <w:pPr>
        <w:pStyle w:val="NoSpacing"/>
        <w:spacing w:line="360" w:lineRule="auto"/>
        <w:rPr>
          <w:rFonts w:ascii="Arial" w:hAnsi="Arial" w:cs="Arial"/>
          <w:color w:val="auto"/>
          <w:sz w:val="24"/>
          <w:szCs w:val="24"/>
        </w:rPr>
      </w:pPr>
    </w:p>
    <w:p w:rsidR="00172318" w:rsidRDefault="00172318" w:rsidP="00295426">
      <w:pPr>
        <w:pStyle w:val="NoSpacing"/>
        <w:numPr>
          <w:ilvl w:val="0"/>
          <w:numId w:val="7"/>
        </w:numPr>
        <w:rPr>
          <w:rFonts w:ascii="Arial" w:hAnsi="Arial" w:cs="Arial"/>
          <w:color w:val="auto"/>
          <w:sz w:val="24"/>
          <w:szCs w:val="24"/>
        </w:rPr>
      </w:pPr>
      <w:r w:rsidRPr="00172475">
        <w:rPr>
          <w:rFonts w:ascii="Arial" w:hAnsi="Arial" w:cs="Arial"/>
          <w:color w:val="auto"/>
          <w:sz w:val="24"/>
          <w:szCs w:val="24"/>
        </w:rPr>
        <w:t>Complaint by an outside party</w:t>
      </w:r>
    </w:p>
    <w:p w:rsidR="00295426" w:rsidRPr="00172475" w:rsidRDefault="00295426" w:rsidP="00295426">
      <w:pPr>
        <w:pStyle w:val="NoSpacing"/>
        <w:ind w:left="720"/>
        <w:rPr>
          <w:rFonts w:ascii="Arial" w:hAnsi="Arial" w:cs="Arial"/>
          <w:color w:val="auto"/>
          <w:sz w:val="24"/>
          <w:szCs w:val="24"/>
        </w:rPr>
      </w:pPr>
    </w:p>
    <w:p w:rsidR="00172318" w:rsidRDefault="00172318" w:rsidP="00295426">
      <w:pPr>
        <w:pStyle w:val="NoSpacing"/>
        <w:numPr>
          <w:ilvl w:val="0"/>
          <w:numId w:val="7"/>
        </w:numPr>
        <w:rPr>
          <w:rFonts w:ascii="Arial" w:hAnsi="Arial" w:cs="Arial"/>
          <w:color w:val="auto"/>
          <w:sz w:val="24"/>
          <w:szCs w:val="24"/>
        </w:rPr>
      </w:pPr>
      <w:r w:rsidRPr="00172475">
        <w:rPr>
          <w:rFonts w:ascii="Arial" w:hAnsi="Arial" w:cs="Arial"/>
          <w:color w:val="auto"/>
          <w:sz w:val="24"/>
          <w:szCs w:val="24"/>
        </w:rPr>
        <w:t>Clerk’s Office inquiry</w:t>
      </w:r>
    </w:p>
    <w:p w:rsidR="00295426" w:rsidRPr="00172475" w:rsidRDefault="00295426" w:rsidP="00295426">
      <w:pPr>
        <w:pStyle w:val="NoSpacing"/>
        <w:ind w:left="720"/>
        <w:rPr>
          <w:rFonts w:ascii="Arial" w:hAnsi="Arial" w:cs="Arial"/>
          <w:color w:val="auto"/>
          <w:sz w:val="24"/>
          <w:szCs w:val="24"/>
        </w:rPr>
      </w:pPr>
    </w:p>
    <w:p w:rsidR="00172318" w:rsidRDefault="0031358C" w:rsidP="00295426">
      <w:pPr>
        <w:pStyle w:val="NoSpacing"/>
        <w:numPr>
          <w:ilvl w:val="0"/>
          <w:numId w:val="7"/>
        </w:numPr>
        <w:rPr>
          <w:rFonts w:ascii="Arial" w:hAnsi="Arial" w:cs="Arial"/>
          <w:color w:val="auto"/>
          <w:sz w:val="24"/>
          <w:szCs w:val="24"/>
        </w:rPr>
      </w:pPr>
      <w:r>
        <w:rPr>
          <w:rFonts w:ascii="Arial" w:hAnsi="Arial" w:cs="Arial"/>
          <w:color w:val="auto"/>
          <w:sz w:val="24"/>
          <w:szCs w:val="24"/>
        </w:rPr>
        <w:t>L</w:t>
      </w:r>
      <w:r w:rsidR="00172318" w:rsidRPr="00172475">
        <w:rPr>
          <w:rFonts w:ascii="Arial" w:hAnsi="Arial" w:cs="Arial"/>
          <w:color w:val="auto"/>
          <w:sz w:val="24"/>
          <w:szCs w:val="24"/>
        </w:rPr>
        <w:t>etter or anonymous complaint</w:t>
      </w:r>
    </w:p>
    <w:p w:rsidR="00295426" w:rsidRPr="00172475" w:rsidRDefault="00295426" w:rsidP="00295426">
      <w:pPr>
        <w:pStyle w:val="NoSpacing"/>
        <w:rPr>
          <w:rFonts w:ascii="Arial" w:hAnsi="Arial" w:cs="Arial"/>
          <w:color w:val="auto"/>
          <w:sz w:val="24"/>
          <w:szCs w:val="24"/>
        </w:rPr>
      </w:pPr>
    </w:p>
    <w:p w:rsidR="00172318" w:rsidRDefault="0031358C" w:rsidP="00295426">
      <w:pPr>
        <w:pStyle w:val="NoSpacing"/>
        <w:numPr>
          <w:ilvl w:val="0"/>
          <w:numId w:val="7"/>
        </w:numPr>
        <w:rPr>
          <w:rFonts w:ascii="Arial" w:hAnsi="Arial" w:cs="Arial"/>
          <w:color w:val="auto"/>
          <w:sz w:val="24"/>
          <w:szCs w:val="24"/>
        </w:rPr>
      </w:pPr>
      <w:r>
        <w:rPr>
          <w:rFonts w:ascii="Arial" w:hAnsi="Arial" w:cs="Arial"/>
          <w:color w:val="auto"/>
          <w:sz w:val="24"/>
          <w:szCs w:val="24"/>
        </w:rPr>
        <w:t>I</w:t>
      </w:r>
      <w:r w:rsidR="00172318" w:rsidRPr="00172475">
        <w:rPr>
          <w:rFonts w:ascii="Arial" w:hAnsi="Arial" w:cs="Arial"/>
          <w:color w:val="auto"/>
          <w:sz w:val="24"/>
          <w:szCs w:val="24"/>
        </w:rPr>
        <w:t xml:space="preserve">nquiry by the Court </w:t>
      </w:r>
    </w:p>
    <w:p w:rsidR="00295426" w:rsidRPr="00172475" w:rsidRDefault="00295426" w:rsidP="00295426">
      <w:pPr>
        <w:pStyle w:val="NoSpacing"/>
        <w:ind w:left="720"/>
        <w:rPr>
          <w:rFonts w:ascii="Arial" w:hAnsi="Arial" w:cs="Arial"/>
          <w:color w:val="auto"/>
          <w:sz w:val="24"/>
          <w:szCs w:val="24"/>
        </w:rPr>
      </w:pPr>
    </w:p>
    <w:p w:rsidR="00172318" w:rsidRDefault="0031358C" w:rsidP="00295426">
      <w:pPr>
        <w:pStyle w:val="NoSpacing"/>
        <w:numPr>
          <w:ilvl w:val="0"/>
          <w:numId w:val="7"/>
        </w:numPr>
        <w:rPr>
          <w:rFonts w:ascii="Arial" w:hAnsi="Arial" w:cs="Arial"/>
          <w:color w:val="auto"/>
          <w:sz w:val="24"/>
          <w:szCs w:val="24"/>
        </w:rPr>
      </w:pPr>
      <w:r>
        <w:rPr>
          <w:rFonts w:ascii="Arial" w:hAnsi="Arial" w:cs="Arial"/>
          <w:color w:val="auto"/>
          <w:sz w:val="24"/>
          <w:szCs w:val="24"/>
        </w:rPr>
        <w:t>Recommendation by the Guardianship Monitor</w:t>
      </w:r>
    </w:p>
    <w:p w:rsidR="00E56D7C" w:rsidRDefault="00E56D7C" w:rsidP="00E56D7C">
      <w:pPr>
        <w:pStyle w:val="NoSpacing"/>
        <w:rPr>
          <w:rFonts w:ascii="Arial" w:hAnsi="Arial" w:cs="Arial"/>
          <w:color w:val="auto"/>
          <w:sz w:val="24"/>
          <w:szCs w:val="24"/>
        </w:rPr>
      </w:pPr>
    </w:p>
    <w:p w:rsidR="00EA51C3" w:rsidRDefault="00EA51C3" w:rsidP="00EA51C3">
      <w:pPr>
        <w:pStyle w:val="NoSpacing"/>
        <w:jc w:val="both"/>
        <w:rPr>
          <w:rFonts w:ascii="Arial" w:hAnsi="Arial" w:cs="Arial"/>
          <w:color w:val="auto"/>
          <w:sz w:val="24"/>
          <w:szCs w:val="24"/>
        </w:rPr>
      </w:pPr>
    </w:p>
    <w:p w:rsidR="00EA51C3" w:rsidRPr="006F2EE8" w:rsidRDefault="00EA51C3" w:rsidP="00E56D7C">
      <w:pPr>
        <w:pStyle w:val="NoSpacing"/>
        <w:spacing w:line="360" w:lineRule="auto"/>
        <w:jc w:val="both"/>
        <w:rPr>
          <w:rFonts w:ascii="Arial" w:hAnsi="Arial" w:cs="Arial"/>
          <w:color w:val="auto"/>
          <w:sz w:val="24"/>
          <w:szCs w:val="24"/>
        </w:rPr>
      </w:pPr>
      <w:r>
        <w:rPr>
          <w:rFonts w:ascii="Arial" w:hAnsi="Arial" w:cs="Arial"/>
          <w:color w:val="auto"/>
          <w:sz w:val="24"/>
          <w:szCs w:val="24"/>
        </w:rPr>
        <w:t>If</w:t>
      </w:r>
      <w:r w:rsidR="006F2EE8">
        <w:rPr>
          <w:rFonts w:ascii="Arial" w:hAnsi="Arial" w:cs="Arial"/>
          <w:color w:val="auto"/>
          <w:sz w:val="24"/>
          <w:szCs w:val="24"/>
        </w:rPr>
        <w:t xml:space="preserve"> the Court believes that a </w:t>
      </w:r>
      <w:r w:rsidR="00295426">
        <w:rPr>
          <w:rFonts w:ascii="Arial" w:hAnsi="Arial" w:cs="Arial"/>
          <w:color w:val="auto"/>
          <w:sz w:val="24"/>
          <w:szCs w:val="24"/>
        </w:rPr>
        <w:t xml:space="preserve">more </w:t>
      </w:r>
      <w:r w:rsidRPr="00172475">
        <w:rPr>
          <w:rFonts w:ascii="Arial" w:hAnsi="Arial" w:cs="Arial"/>
          <w:color w:val="auto"/>
          <w:sz w:val="24"/>
          <w:szCs w:val="24"/>
        </w:rPr>
        <w:t>detailed inquiry is needed</w:t>
      </w:r>
      <w:r w:rsidR="00295426">
        <w:rPr>
          <w:rFonts w:ascii="Arial" w:hAnsi="Arial" w:cs="Arial"/>
          <w:color w:val="auto"/>
          <w:sz w:val="24"/>
          <w:szCs w:val="24"/>
        </w:rPr>
        <w:t xml:space="preserve"> by the</w:t>
      </w:r>
      <w:r w:rsidR="001124AC">
        <w:rPr>
          <w:rFonts w:ascii="Arial" w:hAnsi="Arial" w:cs="Arial"/>
          <w:color w:val="auto"/>
          <w:sz w:val="24"/>
          <w:szCs w:val="24"/>
        </w:rPr>
        <w:t xml:space="preserve"> Court</w:t>
      </w:r>
      <w:r w:rsidR="00295426">
        <w:rPr>
          <w:rFonts w:ascii="Arial" w:hAnsi="Arial" w:cs="Arial"/>
          <w:color w:val="auto"/>
          <w:sz w:val="24"/>
          <w:szCs w:val="24"/>
        </w:rPr>
        <w:t xml:space="preserve"> Guardianship Monitor</w:t>
      </w:r>
      <w:r w:rsidRPr="00172475">
        <w:rPr>
          <w:rFonts w:ascii="Arial" w:hAnsi="Arial" w:cs="Arial"/>
          <w:color w:val="auto"/>
          <w:sz w:val="24"/>
          <w:szCs w:val="24"/>
        </w:rPr>
        <w:t xml:space="preserve">, </w:t>
      </w:r>
      <w:r w:rsidR="00295426">
        <w:rPr>
          <w:rFonts w:ascii="Arial" w:hAnsi="Arial" w:cs="Arial"/>
          <w:color w:val="auto"/>
          <w:sz w:val="24"/>
          <w:szCs w:val="24"/>
        </w:rPr>
        <w:t xml:space="preserve">including the </w:t>
      </w:r>
      <w:r w:rsidRPr="00172475">
        <w:rPr>
          <w:rFonts w:ascii="Arial" w:hAnsi="Arial" w:cs="Arial"/>
          <w:color w:val="auto"/>
          <w:sz w:val="24"/>
          <w:szCs w:val="24"/>
        </w:rPr>
        <w:t>financial, medical, or</w:t>
      </w:r>
      <w:r>
        <w:rPr>
          <w:rFonts w:ascii="Arial" w:hAnsi="Arial" w:cs="Arial"/>
          <w:color w:val="auto"/>
          <w:sz w:val="24"/>
          <w:szCs w:val="24"/>
        </w:rPr>
        <w:t xml:space="preserve"> residential information</w:t>
      </w:r>
      <w:r w:rsidR="00295426">
        <w:rPr>
          <w:rFonts w:ascii="Arial" w:hAnsi="Arial" w:cs="Arial"/>
          <w:color w:val="auto"/>
          <w:sz w:val="24"/>
          <w:szCs w:val="24"/>
        </w:rPr>
        <w:t xml:space="preserve"> of the Ward</w:t>
      </w:r>
      <w:r w:rsidRPr="00172475">
        <w:rPr>
          <w:rFonts w:ascii="Arial" w:hAnsi="Arial" w:cs="Arial"/>
          <w:color w:val="auto"/>
          <w:sz w:val="24"/>
          <w:szCs w:val="24"/>
        </w:rPr>
        <w:t xml:space="preserve">, the Court will </w:t>
      </w:r>
      <w:r w:rsidR="001124AC">
        <w:rPr>
          <w:rFonts w:ascii="Arial" w:hAnsi="Arial" w:cs="Arial"/>
          <w:color w:val="auto"/>
          <w:sz w:val="24"/>
          <w:szCs w:val="24"/>
        </w:rPr>
        <w:t>appoint the Court Guardianship Monitor</w:t>
      </w:r>
      <w:r w:rsidR="00163A69" w:rsidRPr="00BA7B85">
        <w:rPr>
          <w:rFonts w:ascii="Arial" w:hAnsi="Arial" w:cs="Arial"/>
          <w:color w:val="auto"/>
          <w:sz w:val="24"/>
          <w:szCs w:val="24"/>
        </w:rPr>
        <w:t>.</w:t>
      </w:r>
      <w:r w:rsidR="00163A69">
        <w:rPr>
          <w:rFonts w:ascii="Arial" w:hAnsi="Arial" w:cs="Arial"/>
          <w:color w:val="auto"/>
          <w:sz w:val="24"/>
          <w:szCs w:val="24"/>
        </w:rPr>
        <w:t xml:space="preserve"> T</w:t>
      </w:r>
      <w:r w:rsidR="00B03647">
        <w:rPr>
          <w:rFonts w:ascii="Arial" w:hAnsi="Arial" w:cs="Arial"/>
          <w:color w:val="auto"/>
          <w:sz w:val="24"/>
          <w:szCs w:val="24"/>
        </w:rPr>
        <w:t>his</w:t>
      </w:r>
      <w:r w:rsidR="00295426">
        <w:rPr>
          <w:rFonts w:ascii="Arial" w:hAnsi="Arial" w:cs="Arial"/>
          <w:color w:val="auto"/>
          <w:sz w:val="24"/>
          <w:szCs w:val="24"/>
        </w:rPr>
        <w:t xml:space="preserve"> </w:t>
      </w:r>
      <w:r w:rsidR="00B03647">
        <w:rPr>
          <w:rFonts w:ascii="Arial" w:hAnsi="Arial" w:cs="Arial"/>
          <w:color w:val="auto"/>
          <w:sz w:val="24"/>
          <w:szCs w:val="24"/>
        </w:rPr>
        <w:t>O</w:t>
      </w:r>
      <w:r w:rsidR="00295426">
        <w:rPr>
          <w:rFonts w:ascii="Arial" w:hAnsi="Arial" w:cs="Arial"/>
          <w:color w:val="auto"/>
          <w:sz w:val="24"/>
          <w:szCs w:val="24"/>
        </w:rPr>
        <w:t>rder</w:t>
      </w:r>
      <w:r w:rsidR="00163A69">
        <w:rPr>
          <w:rFonts w:ascii="Arial" w:hAnsi="Arial" w:cs="Arial"/>
          <w:color w:val="auto"/>
          <w:sz w:val="24"/>
          <w:szCs w:val="24"/>
        </w:rPr>
        <w:t xml:space="preserve"> will</w:t>
      </w:r>
      <w:r w:rsidR="00295426">
        <w:rPr>
          <w:rFonts w:ascii="Arial" w:hAnsi="Arial" w:cs="Arial"/>
          <w:color w:val="auto"/>
          <w:sz w:val="24"/>
          <w:szCs w:val="24"/>
        </w:rPr>
        <w:t xml:space="preserve"> allow the Guardianship Monitor</w:t>
      </w:r>
      <w:r w:rsidRPr="00172475">
        <w:rPr>
          <w:rFonts w:ascii="Arial" w:hAnsi="Arial" w:cs="Arial"/>
          <w:color w:val="auto"/>
          <w:sz w:val="24"/>
          <w:szCs w:val="24"/>
        </w:rPr>
        <w:t xml:space="preserve"> to have access to certain records </w:t>
      </w:r>
      <w:r w:rsidR="00B03647">
        <w:rPr>
          <w:rFonts w:ascii="Arial" w:hAnsi="Arial" w:cs="Arial"/>
          <w:color w:val="auto"/>
          <w:sz w:val="24"/>
          <w:szCs w:val="24"/>
        </w:rPr>
        <w:t>and/</w:t>
      </w:r>
      <w:r w:rsidRPr="00172475">
        <w:rPr>
          <w:rFonts w:ascii="Arial" w:hAnsi="Arial" w:cs="Arial"/>
          <w:color w:val="auto"/>
          <w:sz w:val="24"/>
          <w:szCs w:val="24"/>
        </w:rPr>
        <w:t>or information not otherwise availa</w:t>
      </w:r>
      <w:r w:rsidR="00295426">
        <w:rPr>
          <w:rFonts w:ascii="Arial" w:hAnsi="Arial" w:cs="Arial"/>
          <w:color w:val="auto"/>
          <w:sz w:val="24"/>
          <w:szCs w:val="24"/>
        </w:rPr>
        <w:t>ble without a court order.</w:t>
      </w:r>
      <w:r w:rsidRPr="00172475">
        <w:rPr>
          <w:rFonts w:ascii="Arial" w:hAnsi="Arial" w:cs="Arial"/>
          <w:color w:val="auto"/>
          <w:sz w:val="24"/>
          <w:szCs w:val="24"/>
        </w:rPr>
        <w:t xml:space="preserve"> </w:t>
      </w:r>
    </w:p>
    <w:p w:rsidR="00EA51C3" w:rsidRDefault="00EA51C3" w:rsidP="00E56D7C">
      <w:pPr>
        <w:pStyle w:val="NoSpacing"/>
        <w:spacing w:line="360" w:lineRule="auto"/>
        <w:rPr>
          <w:rFonts w:ascii="Arial" w:hAnsi="Arial" w:cs="Arial"/>
          <w:color w:val="auto"/>
          <w:sz w:val="24"/>
          <w:szCs w:val="24"/>
        </w:rPr>
      </w:pPr>
    </w:p>
    <w:p w:rsidR="00EA51C3" w:rsidRPr="00295426" w:rsidRDefault="00295426" w:rsidP="00E56D7C">
      <w:pPr>
        <w:pStyle w:val="NoSpacing"/>
        <w:spacing w:line="360" w:lineRule="auto"/>
        <w:jc w:val="both"/>
        <w:rPr>
          <w:rFonts w:ascii="Arial" w:hAnsi="Arial" w:cs="Arial"/>
          <w:color w:val="auto"/>
          <w:sz w:val="24"/>
          <w:szCs w:val="24"/>
        </w:rPr>
      </w:pPr>
      <w:r>
        <w:rPr>
          <w:rFonts w:ascii="Arial" w:hAnsi="Arial" w:cs="Arial"/>
          <w:color w:val="auto"/>
          <w:sz w:val="24"/>
          <w:szCs w:val="24"/>
        </w:rPr>
        <w:t>The Guardianship Monitor will then conduct</w:t>
      </w:r>
      <w:r w:rsidR="00EA51C3" w:rsidRPr="00172475">
        <w:rPr>
          <w:rFonts w:ascii="Arial" w:hAnsi="Arial" w:cs="Arial"/>
          <w:color w:val="auto"/>
          <w:sz w:val="24"/>
          <w:szCs w:val="24"/>
        </w:rPr>
        <w:t xml:space="preserve"> a more inclusive investigation and submit to the Court its results</w:t>
      </w:r>
      <w:r>
        <w:rPr>
          <w:rFonts w:ascii="Arial" w:hAnsi="Arial" w:cs="Arial"/>
          <w:color w:val="auto"/>
          <w:sz w:val="24"/>
          <w:szCs w:val="24"/>
        </w:rPr>
        <w:t>, by</w:t>
      </w:r>
      <w:r w:rsidR="005C70A3">
        <w:rPr>
          <w:rFonts w:ascii="Arial" w:hAnsi="Arial" w:cs="Arial"/>
          <w:color w:val="auto"/>
          <w:sz w:val="24"/>
          <w:szCs w:val="24"/>
        </w:rPr>
        <w:t xml:space="preserve"> filing a</w:t>
      </w:r>
      <w:r w:rsidR="00EA51C3" w:rsidRPr="00172475">
        <w:rPr>
          <w:rFonts w:ascii="Arial" w:hAnsi="Arial" w:cs="Arial"/>
          <w:color w:val="auto"/>
          <w:sz w:val="24"/>
          <w:szCs w:val="24"/>
        </w:rPr>
        <w:t xml:space="preserve"> </w:t>
      </w:r>
      <w:r w:rsidR="00426F6A" w:rsidRPr="007A27AA">
        <w:rPr>
          <w:rFonts w:ascii="Arial" w:hAnsi="Arial" w:cs="Arial"/>
          <w:i/>
          <w:color w:val="auto"/>
          <w:sz w:val="24"/>
          <w:szCs w:val="24"/>
        </w:rPr>
        <w:t>Guardianship Monitor Report</w:t>
      </w:r>
      <w:r w:rsidR="00B03647">
        <w:rPr>
          <w:rFonts w:ascii="Arial" w:hAnsi="Arial" w:cs="Arial"/>
          <w:b/>
          <w:color w:val="auto"/>
          <w:sz w:val="24"/>
          <w:szCs w:val="24"/>
        </w:rPr>
        <w:t xml:space="preserve">.  </w:t>
      </w:r>
      <w:r w:rsidR="0065778C">
        <w:rPr>
          <w:rFonts w:ascii="Arial" w:hAnsi="Arial" w:cs="Arial"/>
          <w:color w:val="auto"/>
          <w:sz w:val="24"/>
          <w:szCs w:val="24"/>
        </w:rPr>
        <w:t xml:space="preserve">The Guardianship Monitor </w:t>
      </w:r>
      <w:r w:rsidR="001124AC">
        <w:rPr>
          <w:rFonts w:ascii="Arial" w:hAnsi="Arial" w:cs="Arial"/>
          <w:color w:val="auto"/>
          <w:sz w:val="24"/>
          <w:szCs w:val="24"/>
        </w:rPr>
        <w:t xml:space="preserve">Report </w:t>
      </w:r>
      <w:r w:rsidR="005C70A3">
        <w:rPr>
          <w:rFonts w:ascii="Arial" w:hAnsi="Arial" w:cs="Arial"/>
          <w:color w:val="auto"/>
          <w:sz w:val="24"/>
          <w:szCs w:val="24"/>
        </w:rPr>
        <w:t>becom</w:t>
      </w:r>
      <w:r w:rsidR="00C44C5F">
        <w:rPr>
          <w:rFonts w:ascii="Arial" w:hAnsi="Arial" w:cs="Arial"/>
          <w:color w:val="auto"/>
          <w:sz w:val="24"/>
          <w:szCs w:val="24"/>
        </w:rPr>
        <w:t>e</w:t>
      </w:r>
      <w:r w:rsidR="001124AC">
        <w:rPr>
          <w:rFonts w:ascii="Arial" w:hAnsi="Arial" w:cs="Arial"/>
          <w:color w:val="auto"/>
          <w:sz w:val="24"/>
          <w:szCs w:val="24"/>
        </w:rPr>
        <w:t>s</w:t>
      </w:r>
      <w:r w:rsidR="00C44C5F">
        <w:rPr>
          <w:rFonts w:ascii="Arial" w:hAnsi="Arial" w:cs="Arial"/>
          <w:color w:val="auto"/>
          <w:sz w:val="24"/>
          <w:szCs w:val="24"/>
        </w:rPr>
        <w:t xml:space="preserve"> part of the court file</w:t>
      </w:r>
      <w:r w:rsidR="00B03647">
        <w:rPr>
          <w:rFonts w:ascii="Arial" w:hAnsi="Arial" w:cs="Arial"/>
          <w:color w:val="auto"/>
          <w:sz w:val="24"/>
          <w:szCs w:val="24"/>
        </w:rPr>
        <w:t xml:space="preserve"> </w:t>
      </w:r>
      <w:r w:rsidR="001124AC">
        <w:rPr>
          <w:rFonts w:ascii="Arial" w:hAnsi="Arial" w:cs="Arial"/>
          <w:color w:val="auto"/>
          <w:sz w:val="24"/>
          <w:szCs w:val="24"/>
        </w:rPr>
        <w:t>and is served on all parties</w:t>
      </w:r>
      <w:r w:rsidR="0065778C">
        <w:rPr>
          <w:rFonts w:ascii="Arial" w:hAnsi="Arial" w:cs="Arial"/>
          <w:color w:val="auto"/>
          <w:sz w:val="24"/>
          <w:szCs w:val="24"/>
        </w:rPr>
        <w:t>.</w:t>
      </w:r>
      <w:r w:rsidR="001124AC">
        <w:rPr>
          <w:rFonts w:ascii="Arial" w:hAnsi="Arial" w:cs="Arial"/>
          <w:color w:val="auto"/>
          <w:sz w:val="24"/>
          <w:szCs w:val="24"/>
        </w:rPr>
        <w:t xml:space="preserve">  The Court </w:t>
      </w:r>
      <w:r w:rsidR="00C851FB">
        <w:rPr>
          <w:rFonts w:ascii="Arial" w:hAnsi="Arial" w:cs="Arial"/>
          <w:color w:val="auto"/>
          <w:sz w:val="24"/>
          <w:szCs w:val="24"/>
        </w:rPr>
        <w:t>will enter</w:t>
      </w:r>
      <w:r w:rsidR="001124AC">
        <w:rPr>
          <w:rFonts w:ascii="Arial" w:hAnsi="Arial" w:cs="Arial"/>
          <w:color w:val="auto"/>
          <w:sz w:val="24"/>
          <w:szCs w:val="24"/>
        </w:rPr>
        <w:t xml:space="preserve"> its Order </w:t>
      </w:r>
      <w:r w:rsidR="00C851FB">
        <w:rPr>
          <w:rFonts w:ascii="Arial" w:hAnsi="Arial" w:cs="Arial"/>
          <w:color w:val="auto"/>
          <w:sz w:val="24"/>
          <w:szCs w:val="24"/>
        </w:rPr>
        <w:t xml:space="preserve">in response to the report. </w:t>
      </w:r>
    </w:p>
    <w:p w:rsidR="00172318" w:rsidRPr="008F33BE" w:rsidRDefault="008F33BE" w:rsidP="00192A50">
      <w:pPr>
        <w:jc w:val="both"/>
        <w:rPr>
          <w:rFonts w:ascii="Arial" w:hAnsi="Arial" w:cs="Arial"/>
          <w:color w:val="0070C0"/>
          <w:sz w:val="28"/>
          <w:szCs w:val="28"/>
        </w:rPr>
      </w:pPr>
      <w:r>
        <w:rPr>
          <w:rFonts w:ascii="Arial" w:hAnsi="Arial" w:cs="Arial"/>
          <w:color w:val="0070C0"/>
          <w:sz w:val="28"/>
          <w:szCs w:val="28"/>
        </w:rPr>
        <w:softHyphen/>
      </w:r>
      <w:r w:rsidR="00163A69" w:rsidRPr="001619AF">
        <w:rPr>
          <w:rFonts w:ascii="Arial" w:hAnsi="Arial" w:cs="Arial"/>
          <w:b/>
          <w:color w:val="0070C0"/>
          <w:sz w:val="32"/>
          <w:szCs w:val="32"/>
        </w:rPr>
        <w:t>____________________________________________________________</w:t>
      </w:r>
    </w:p>
    <w:p w:rsidR="00420942" w:rsidRDefault="00420942" w:rsidP="006060CB">
      <w:pPr>
        <w:shd w:val="clear" w:color="auto" w:fill="FFFFFF"/>
        <w:spacing w:after="0" w:line="360" w:lineRule="atLeast"/>
        <w:jc w:val="center"/>
        <w:rPr>
          <w:rFonts w:ascii="Arial" w:eastAsia="Times New Roman" w:hAnsi="Arial" w:cs="Arial"/>
          <w:color w:val="000000"/>
          <w:sz w:val="24"/>
          <w:szCs w:val="24"/>
        </w:rPr>
      </w:pPr>
    </w:p>
    <w:p w:rsidR="00420942" w:rsidRDefault="00420942" w:rsidP="006060CB">
      <w:pPr>
        <w:shd w:val="clear" w:color="auto" w:fill="FFFFFF"/>
        <w:spacing w:after="0" w:line="360" w:lineRule="atLeast"/>
        <w:jc w:val="center"/>
        <w:rPr>
          <w:rFonts w:ascii="Arial" w:eastAsia="Times New Roman" w:hAnsi="Arial" w:cs="Arial"/>
          <w:color w:val="000000"/>
          <w:sz w:val="24"/>
          <w:szCs w:val="24"/>
        </w:rPr>
      </w:pPr>
    </w:p>
    <w:p w:rsidR="00420942" w:rsidRDefault="00420942" w:rsidP="006060CB">
      <w:pPr>
        <w:shd w:val="clear" w:color="auto" w:fill="FFFFFF"/>
        <w:spacing w:after="0" w:line="360" w:lineRule="atLeast"/>
        <w:jc w:val="center"/>
        <w:rPr>
          <w:rFonts w:ascii="Arial" w:eastAsia="Times New Roman" w:hAnsi="Arial" w:cs="Arial"/>
          <w:color w:val="000000"/>
          <w:sz w:val="24"/>
          <w:szCs w:val="24"/>
        </w:rPr>
      </w:pPr>
    </w:p>
    <w:p w:rsidR="00420942" w:rsidRDefault="00420942" w:rsidP="006060CB">
      <w:pPr>
        <w:shd w:val="clear" w:color="auto" w:fill="FFFFFF"/>
        <w:spacing w:after="0" w:line="360" w:lineRule="atLeast"/>
        <w:jc w:val="center"/>
        <w:rPr>
          <w:rFonts w:ascii="Arial" w:eastAsia="Times New Roman" w:hAnsi="Arial" w:cs="Arial"/>
          <w:color w:val="000000"/>
          <w:sz w:val="24"/>
          <w:szCs w:val="24"/>
        </w:rPr>
      </w:pPr>
    </w:p>
    <w:p w:rsidR="00420942" w:rsidRDefault="00420942" w:rsidP="006F1BA0">
      <w:pPr>
        <w:shd w:val="clear" w:color="auto" w:fill="FFFFFF"/>
        <w:spacing w:after="0" w:line="360" w:lineRule="atLeast"/>
        <w:rPr>
          <w:rFonts w:ascii="Arial" w:eastAsia="Times New Roman" w:hAnsi="Arial" w:cs="Arial"/>
          <w:color w:val="000000"/>
          <w:sz w:val="24"/>
          <w:szCs w:val="24"/>
        </w:rPr>
      </w:pPr>
    </w:p>
    <w:sectPr w:rsidR="00420942">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B6" w:rsidRDefault="006362B6" w:rsidP="008214C6">
      <w:pPr>
        <w:spacing w:after="0" w:line="240" w:lineRule="auto"/>
      </w:pPr>
      <w:r>
        <w:separator/>
      </w:r>
    </w:p>
  </w:endnote>
  <w:endnote w:type="continuationSeparator" w:id="0">
    <w:p w:rsidR="006362B6" w:rsidRDefault="006362B6" w:rsidP="0082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B6" w:rsidRDefault="006362B6" w:rsidP="008214C6">
      <w:pPr>
        <w:spacing w:after="0" w:line="240" w:lineRule="auto"/>
      </w:pPr>
      <w:r>
        <w:separator/>
      </w:r>
    </w:p>
  </w:footnote>
  <w:footnote w:type="continuationSeparator" w:id="0">
    <w:p w:rsidR="006362B6" w:rsidRDefault="006362B6" w:rsidP="00821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2pt;height:12pt" o:bullet="t">
        <v:imagedata r:id="rId1" o:title="msoB4A5"/>
      </v:shape>
    </w:pict>
  </w:numPicBullet>
  <w:abstractNum w:abstractNumId="0" w15:restartNumberingAfterBreak="0">
    <w:nsid w:val="081E2827"/>
    <w:multiLevelType w:val="hybridMultilevel"/>
    <w:tmpl w:val="2D7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03B9"/>
    <w:multiLevelType w:val="hybridMultilevel"/>
    <w:tmpl w:val="FE3281C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D4F29"/>
    <w:multiLevelType w:val="hybridMultilevel"/>
    <w:tmpl w:val="E8DE441A"/>
    <w:lvl w:ilvl="0" w:tplc="3AD8D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62078"/>
    <w:multiLevelType w:val="hybridMultilevel"/>
    <w:tmpl w:val="1622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15936"/>
    <w:multiLevelType w:val="hybridMultilevel"/>
    <w:tmpl w:val="17B28A72"/>
    <w:lvl w:ilvl="0" w:tplc="34F85902">
      <w:start w:val="855"/>
      <w:numFmt w:val="bullet"/>
      <w:lvlText w:val="-"/>
      <w:lvlJc w:val="left"/>
      <w:pPr>
        <w:ind w:left="1815" w:hanging="360"/>
      </w:pPr>
      <w:rPr>
        <w:rFonts w:ascii="Arial" w:eastAsiaTheme="minorHAnsi"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5" w15:restartNumberingAfterBreak="0">
    <w:nsid w:val="4A211CAB"/>
    <w:multiLevelType w:val="hybridMultilevel"/>
    <w:tmpl w:val="F08A744A"/>
    <w:lvl w:ilvl="0" w:tplc="04090007">
      <w:start w:val="1"/>
      <w:numFmt w:val="bullet"/>
      <w:lvlText w:val=""/>
      <w:lvlPicBulletId w:val="0"/>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4AF55D10"/>
    <w:multiLevelType w:val="hybridMultilevel"/>
    <w:tmpl w:val="3024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805CE"/>
    <w:multiLevelType w:val="hybridMultilevel"/>
    <w:tmpl w:val="B4C6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1606B9"/>
    <w:multiLevelType w:val="hybridMultilevel"/>
    <w:tmpl w:val="30E6543E"/>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D2C55"/>
    <w:multiLevelType w:val="hybridMultilevel"/>
    <w:tmpl w:val="F9327BA0"/>
    <w:lvl w:ilvl="0" w:tplc="B41C2FE6">
      <w:start w:val="855"/>
      <w:numFmt w:val="bullet"/>
      <w:lvlText w:val="-"/>
      <w:lvlJc w:val="left"/>
      <w:pPr>
        <w:ind w:left="2445" w:hanging="360"/>
      </w:pPr>
      <w:rPr>
        <w:rFonts w:ascii="Arial" w:eastAsiaTheme="minorHAnsi" w:hAnsi="Arial" w:cs="Aria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2"/>
  </w:num>
  <w:num w:numId="6">
    <w:abstractNumId w:val="1"/>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18"/>
    <w:rsid w:val="000527D7"/>
    <w:rsid w:val="000C1EBA"/>
    <w:rsid w:val="000E2722"/>
    <w:rsid w:val="001124AC"/>
    <w:rsid w:val="00135882"/>
    <w:rsid w:val="001619AF"/>
    <w:rsid w:val="00163A69"/>
    <w:rsid w:val="00172318"/>
    <w:rsid w:val="00172475"/>
    <w:rsid w:val="00192A50"/>
    <w:rsid w:val="001A1AF3"/>
    <w:rsid w:val="001B6ADC"/>
    <w:rsid w:val="00295426"/>
    <w:rsid w:val="002E7198"/>
    <w:rsid w:val="002F7249"/>
    <w:rsid w:val="003100C7"/>
    <w:rsid w:val="0031358C"/>
    <w:rsid w:val="00316AEA"/>
    <w:rsid w:val="003E3413"/>
    <w:rsid w:val="00410B8E"/>
    <w:rsid w:val="00420942"/>
    <w:rsid w:val="00426F6A"/>
    <w:rsid w:val="00494CFA"/>
    <w:rsid w:val="004C0A46"/>
    <w:rsid w:val="004D2FE3"/>
    <w:rsid w:val="00581FB8"/>
    <w:rsid w:val="00584C35"/>
    <w:rsid w:val="00594C27"/>
    <w:rsid w:val="005C70A3"/>
    <w:rsid w:val="006060CB"/>
    <w:rsid w:val="006362B6"/>
    <w:rsid w:val="0065778C"/>
    <w:rsid w:val="006A5170"/>
    <w:rsid w:val="006F1BA0"/>
    <w:rsid w:val="006F2EE8"/>
    <w:rsid w:val="007364D3"/>
    <w:rsid w:val="007740C9"/>
    <w:rsid w:val="0078174F"/>
    <w:rsid w:val="007838A3"/>
    <w:rsid w:val="007A27AA"/>
    <w:rsid w:val="008050E3"/>
    <w:rsid w:val="008178A6"/>
    <w:rsid w:val="008214C6"/>
    <w:rsid w:val="00860DA8"/>
    <w:rsid w:val="008A7A82"/>
    <w:rsid w:val="008F33BE"/>
    <w:rsid w:val="00932111"/>
    <w:rsid w:val="00984CB0"/>
    <w:rsid w:val="009A2CFF"/>
    <w:rsid w:val="009B1003"/>
    <w:rsid w:val="009F2B39"/>
    <w:rsid w:val="00A100EC"/>
    <w:rsid w:val="00A70FED"/>
    <w:rsid w:val="00A951C2"/>
    <w:rsid w:val="00AC016F"/>
    <w:rsid w:val="00B03647"/>
    <w:rsid w:val="00B059F2"/>
    <w:rsid w:val="00B55CD6"/>
    <w:rsid w:val="00B77AAC"/>
    <w:rsid w:val="00BA7B85"/>
    <w:rsid w:val="00C011C6"/>
    <w:rsid w:val="00C21E7C"/>
    <w:rsid w:val="00C44C5F"/>
    <w:rsid w:val="00C523DA"/>
    <w:rsid w:val="00C851FB"/>
    <w:rsid w:val="00CF3A41"/>
    <w:rsid w:val="00D560A2"/>
    <w:rsid w:val="00D72DB3"/>
    <w:rsid w:val="00E56D7C"/>
    <w:rsid w:val="00EA51C3"/>
    <w:rsid w:val="00FA26B2"/>
    <w:rsid w:val="00FF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A882A"/>
  <w15:chartTrackingRefBased/>
  <w15:docId w15:val="{C695E2CC-FF2E-43AE-8301-95EC35B2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1"/>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NormalWeb">
    <w:name w:val="Normal (Web)"/>
    <w:basedOn w:val="Normal"/>
    <w:uiPriority w:val="99"/>
    <w:semiHidden/>
    <w:unhideWhenUsed/>
    <w:rsid w:val="00FF5E18"/>
    <w:pPr>
      <w:spacing w:before="100" w:beforeAutospacing="1" w:after="100" w:afterAutospacing="1" w:line="240" w:lineRule="auto"/>
    </w:pPr>
    <w:rPr>
      <w:rFonts w:ascii="Times New Roman" w:eastAsia="Times New Roman" w:hAnsi="Times New Roman" w:cs="Times New Roman"/>
      <w:color w:val="auto"/>
      <w:kern w:val="0"/>
      <w:sz w:val="24"/>
      <w:szCs w:val="24"/>
      <w:lang w:eastAsia="en-US"/>
      <w14:ligatures w14:val="none"/>
    </w:rPr>
  </w:style>
  <w:style w:type="paragraph" w:styleId="ListParagraph">
    <w:name w:val="List Paragraph"/>
    <w:basedOn w:val="Normal"/>
    <w:uiPriority w:val="34"/>
    <w:unhideWhenUsed/>
    <w:qFormat/>
    <w:rsid w:val="009A2CFF"/>
    <w:pPr>
      <w:ind w:left="720"/>
      <w:contextualSpacing/>
    </w:pPr>
  </w:style>
  <w:style w:type="paragraph" w:styleId="Header">
    <w:name w:val="header"/>
    <w:basedOn w:val="Normal"/>
    <w:link w:val="HeaderChar"/>
    <w:uiPriority w:val="99"/>
    <w:unhideWhenUsed/>
    <w:rsid w:val="00821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4C6"/>
  </w:style>
  <w:style w:type="paragraph" w:styleId="Footer">
    <w:name w:val="footer"/>
    <w:basedOn w:val="Normal"/>
    <w:link w:val="FooterChar"/>
    <w:uiPriority w:val="99"/>
    <w:unhideWhenUsed/>
    <w:rsid w:val="00821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jud12.flcourts.org/ProgramsServices/GuardianshipHotline.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awn\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B7F18E64-E393-4CAF-AB29-0475E142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5</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Yawn</dc:creator>
  <cp:keywords/>
  <cp:lastModifiedBy>Wagner, Susan</cp:lastModifiedBy>
  <cp:revision>7</cp:revision>
  <cp:lastPrinted>2017-12-22T20:29:00Z</cp:lastPrinted>
  <dcterms:created xsi:type="dcterms:W3CDTF">2019-01-17T15:46:00Z</dcterms:created>
  <dcterms:modified xsi:type="dcterms:W3CDTF">2019-01-17T16:44:00Z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