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DE" w:rsidRPr="00A652E1" w:rsidRDefault="003078DE" w:rsidP="003078DE">
      <w:pPr>
        <w:pStyle w:val="BodyText"/>
        <w:widowControl/>
        <w:jc w:val="center"/>
        <w:rPr>
          <w:rFonts w:ascii="Times New Roman" w:hAnsi="Times New Roman" w:cs="Times New Roman"/>
          <w:sz w:val="22"/>
          <w:szCs w:val="22"/>
        </w:rPr>
      </w:pPr>
      <w:r w:rsidRPr="00A652E1">
        <w:rPr>
          <w:rFonts w:ascii="Times New Roman" w:hAnsi="Times New Roman" w:cs="Times New Roman"/>
          <w:sz w:val="22"/>
          <w:szCs w:val="22"/>
        </w:rPr>
        <w:t>IN THE CIRCUIT COURT OF THE TWENTIETH JUDICIAL CIRCUIT IN AND FOR HENDRY COUNTY, FLORIDA</w:t>
      </w:r>
    </w:p>
    <w:p w:rsidR="003078DE" w:rsidRPr="00A652E1" w:rsidRDefault="003078DE" w:rsidP="003078DE">
      <w:pPr>
        <w:pStyle w:val="BodyText"/>
        <w:widowControl/>
        <w:jc w:val="center"/>
        <w:rPr>
          <w:rFonts w:ascii="Times New Roman" w:hAnsi="Times New Roman" w:cs="Times New Roman"/>
          <w:sz w:val="22"/>
          <w:szCs w:val="22"/>
        </w:rPr>
      </w:pPr>
    </w:p>
    <w:p w:rsidR="003078DE" w:rsidRPr="00A652E1" w:rsidRDefault="003078DE" w:rsidP="003078DE">
      <w:pPr>
        <w:pStyle w:val="BodyText"/>
        <w:widowControl/>
        <w:jc w:val="center"/>
        <w:rPr>
          <w:rFonts w:ascii="Times New Roman" w:hAnsi="Times New Roman" w:cs="Times New Roman"/>
          <w:sz w:val="22"/>
          <w:szCs w:val="22"/>
        </w:rPr>
      </w:pPr>
      <w:r w:rsidRPr="00A652E1">
        <w:rPr>
          <w:rFonts w:ascii="Times New Roman" w:hAnsi="Times New Roman" w:cs="Times New Roman"/>
          <w:sz w:val="22"/>
          <w:szCs w:val="22"/>
        </w:rPr>
        <w:t>CIVIL ACTION</w:t>
      </w:r>
    </w:p>
    <w:p w:rsidR="003078DE" w:rsidRPr="00A652E1" w:rsidRDefault="003078DE" w:rsidP="003078DE">
      <w:pPr>
        <w:pStyle w:val="BodyText"/>
        <w:widowControl/>
        <w:rPr>
          <w:rFonts w:ascii="Times New Roman" w:hAnsi="Times New Roman" w:cs="Times New Roman"/>
          <w:sz w:val="22"/>
          <w:szCs w:val="22"/>
        </w:rPr>
      </w:pPr>
    </w:p>
    <w:p w:rsidR="003078DE" w:rsidRPr="00A652E1" w:rsidRDefault="003078DE" w:rsidP="003078DE">
      <w:pPr>
        <w:pStyle w:val="BodyText"/>
        <w:widowControl/>
        <w:ind w:right="5040"/>
        <w:jc w:val="left"/>
        <w:rPr>
          <w:rFonts w:ascii="Times New Roman" w:hAnsi="Times New Roman" w:cs="Times New Roman"/>
          <w:caps/>
          <w:sz w:val="22"/>
          <w:szCs w:val="22"/>
        </w:rPr>
      </w:pP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rPr>
        <w:tab/>
      </w:r>
      <w:r w:rsidRPr="00A652E1">
        <w:rPr>
          <w:rFonts w:ascii="Times New Roman" w:hAnsi="Times New Roman" w:cs="Times New Roman"/>
          <w:sz w:val="22"/>
          <w:szCs w:val="22"/>
        </w:rPr>
        <w:tab/>
        <w:t>Plaintiff(s),</w:t>
      </w:r>
      <w:r w:rsidRPr="00A652E1">
        <w:rPr>
          <w:rFonts w:ascii="Times New Roman" w:hAnsi="Times New Roman" w:cs="Times New Roman"/>
          <w:sz w:val="22"/>
          <w:szCs w:val="22"/>
        </w:rPr>
        <w:tab/>
      </w:r>
      <w:r w:rsidRPr="00A652E1">
        <w:rPr>
          <w:rFonts w:ascii="Times New Roman" w:hAnsi="Times New Roman" w:cs="Times New Roman"/>
          <w:sz w:val="22"/>
          <w:szCs w:val="22"/>
        </w:rPr>
        <w:tab/>
      </w:r>
      <w:r w:rsidRPr="00A652E1">
        <w:rPr>
          <w:rFonts w:ascii="Times New Roman" w:hAnsi="Times New Roman" w:cs="Times New Roman"/>
          <w:sz w:val="22"/>
          <w:szCs w:val="22"/>
        </w:rPr>
        <w:tab/>
        <w:t xml:space="preserve">  </w:t>
      </w:r>
    </w:p>
    <w:p w:rsidR="003078DE" w:rsidRPr="00A652E1" w:rsidRDefault="003078DE" w:rsidP="003078DE">
      <w:pPr>
        <w:pStyle w:val="BodyText"/>
        <w:widowControl/>
        <w:ind w:left="720" w:firstLine="720"/>
        <w:rPr>
          <w:rFonts w:ascii="Times New Roman" w:hAnsi="Times New Roman" w:cs="Times New Roman"/>
          <w:sz w:val="22"/>
          <w:szCs w:val="22"/>
        </w:rPr>
      </w:pPr>
      <w:proofErr w:type="gramStart"/>
      <w:r w:rsidRPr="00A652E1">
        <w:rPr>
          <w:rFonts w:ascii="Times New Roman" w:hAnsi="Times New Roman" w:cs="Times New Roman"/>
          <w:sz w:val="22"/>
          <w:szCs w:val="22"/>
        </w:rPr>
        <w:t>vs</w:t>
      </w:r>
      <w:proofErr w:type="gramEnd"/>
      <w:r w:rsidRPr="00A652E1">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CASE NO.</w:t>
      </w:r>
      <w:r w:rsidRPr="00A652E1">
        <w:rPr>
          <w:rFonts w:ascii="Times New Roman" w:hAnsi="Times New Roman" w:cs="Times New Roman"/>
          <w:caps/>
          <w:sz w:val="22"/>
          <w:szCs w:val="22"/>
        </w:rPr>
        <w:t xml:space="preserve">   </w:t>
      </w:r>
      <w:r w:rsidRPr="00A652E1">
        <w:rPr>
          <w:rFonts w:ascii="Times New Roman" w:hAnsi="Times New Roman" w:cs="Times New Roman"/>
          <w:sz w:val="22"/>
          <w:szCs w:val="22"/>
        </w:rPr>
        <w:tab/>
      </w:r>
    </w:p>
    <w:p w:rsidR="003078DE" w:rsidRPr="00A652E1" w:rsidRDefault="003078DE" w:rsidP="003078DE">
      <w:pPr>
        <w:pStyle w:val="BodyText"/>
        <w:widowControl/>
        <w:rPr>
          <w:rFonts w:ascii="Times New Roman" w:hAnsi="Times New Roman" w:cs="Times New Roman"/>
          <w:sz w:val="22"/>
          <w:szCs w:val="22"/>
        </w:rPr>
      </w:pPr>
    </w:p>
    <w:p w:rsidR="003078DE" w:rsidRPr="00A652E1" w:rsidRDefault="003078DE" w:rsidP="003078DE">
      <w:pPr>
        <w:pStyle w:val="BodyText"/>
        <w:widowControl/>
        <w:ind w:right="5040"/>
        <w:jc w:val="left"/>
        <w:rPr>
          <w:rFonts w:ascii="Times New Roman" w:hAnsi="Times New Roman" w:cs="Times New Roman"/>
          <w:caps/>
          <w:sz w:val="22"/>
          <w:szCs w:val="22"/>
        </w:rPr>
      </w:pP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rPr>
        <w:t xml:space="preserve">                        Defendant(s).</w:t>
      </w:r>
    </w:p>
    <w:p w:rsidR="003078DE" w:rsidRPr="00A652E1" w:rsidRDefault="003078DE" w:rsidP="003078DE">
      <w:pPr>
        <w:pStyle w:val="BodyText"/>
        <w:widowControl/>
        <w:rPr>
          <w:rFonts w:ascii="Times New Roman" w:hAnsi="Times New Roman" w:cs="Times New Roman"/>
          <w:sz w:val="22"/>
          <w:szCs w:val="22"/>
        </w:rPr>
      </w:pP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r>
      <w:r w:rsidRPr="00A652E1">
        <w:rPr>
          <w:rFonts w:ascii="Times New Roman" w:hAnsi="Times New Roman" w:cs="Times New Roman"/>
          <w:sz w:val="22"/>
          <w:szCs w:val="22"/>
          <w:u w:val="single"/>
        </w:rPr>
        <w:tab/>
        <w:t>/</w:t>
      </w:r>
    </w:p>
    <w:p w:rsidR="00B50DCB" w:rsidRPr="00A652E1"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B50DCB" w:rsidRPr="009F43F9" w:rsidRDefault="00B50DCB">
      <w:pPr>
        <w:tabs>
          <w:tab w:val="center" w:pos="4680"/>
          <w:tab w:val="left" w:pos="5040"/>
          <w:tab w:val="left" w:pos="5760"/>
          <w:tab w:val="left" w:pos="6480"/>
          <w:tab w:val="left" w:pos="7200"/>
          <w:tab w:val="left" w:pos="7920"/>
          <w:tab w:val="left" w:pos="8640"/>
          <w:tab w:val="right" w:pos="9360"/>
        </w:tabs>
        <w:jc w:val="both"/>
        <w:rPr>
          <w:b/>
          <w:sz w:val="22"/>
          <w:szCs w:val="22"/>
        </w:rPr>
      </w:pPr>
      <w:r w:rsidRPr="00A652E1">
        <w:rPr>
          <w:sz w:val="22"/>
          <w:szCs w:val="22"/>
        </w:rPr>
        <w:tab/>
      </w:r>
      <w:r w:rsidR="009F43F9">
        <w:rPr>
          <w:b/>
          <w:szCs w:val="22"/>
          <w:u w:val="single"/>
        </w:rPr>
        <w:t>AGREED CASE MANAGEMENT PLAN</w:t>
      </w:r>
    </w:p>
    <w:p w:rsidR="00B50DCB" w:rsidRPr="00A652E1" w:rsidRDefault="00B50D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202B44" w:rsidRDefault="00202B44" w:rsidP="00202B44">
      <w:pPr>
        <w:ind w:left="-90"/>
      </w:pPr>
      <w:r>
        <w:t>The parties hereby submit to the following Agreed Case Management Plan to the Court for approval:</w:t>
      </w:r>
    </w:p>
    <w:p w:rsidR="00202B44" w:rsidRDefault="00202B44" w:rsidP="00202B44">
      <w:pPr>
        <w:ind w:left="-90"/>
      </w:pPr>
    </w:p>
    <w:p w:rsidR="00202B44" w:rsidRDefault="00202B44" w:rsidP="00202B44">
      <w:pPr>
        <w:ind w:left="-90"/>
        <w:rPr>
          <w:b/>
          <w:sz w:val="28"/>
          <w:szCs w:val="28"/>
        </w:rPr>
      </w:pPr>
      <w:r>
        <w:rPr>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76"/>
        <w:gridCol w:w="2854"/>
      </w:tblGrid>
      <w:tr w:rsidR="00202B44" w:rsidTr="00202B44">
        <w:tc>
          <w:tcPr>
            <w:tcW w:w="739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sz w:val="22"/>
                <w:szCs w:val="22"/>
              </w:rPr>
            </w:pPr>
            <w:r>
              <w:rPr>
                <w:b/>
                <w:i/>
              </w:rPr>
              <w:t>DEADLINE OR EVENT</w:t>
            </w:r>
          </w:p>
        </w:tc>
        <w:tc>
          <w:tcPr>
            <w:tcW w:w="3186"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AGREED DATE</w:t>
            </w:r>
          </w:p>
        </w:tc>
      </w:tr>
      <w:tr w:rsidR="00202B44" w:rsidTr="00202B44">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Statement of Facts and/or Counterclaim(s)</w:t>
            </w:r>
          </w:p>
          <w:p w:rsidR="00202B44" w:rsidRDefault="00202B44">
            <w:pPr>
              <w:jc w:val="right"/>
            </w:pPr>
            <w:r>
              <w:t>Plaintiff(s):</w:t>
            </w:r>
          </w:p>
          <w:p w:rsidR="00202B44" w:rsidRDefault="00202B44">
            <w:pPr>
              <w:jc w:val="right"/>
            </w:pPr>
          </w:p>
          <w:p w:rsidR="00202B44" w:rsidRDefault="00202B44">
            <w:pPr>
              <w:jc w:val="right"/>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20"/>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r>
              <w:rPr>
                <w:b/>
              </w:rPr>
              <w:t>Identification of facts the parties believe to be disputed</w:t>
            </w:r>
          </w:p>
          <w:p w:rsidR="00202B44" w:rsidRDefault="00202B44">
            <w:pPr>
              <w:jc w:val="right"/>
            </w:pPr>
            <w:r>
              <w:t>Plaintiff(s):</w:t>
            </w:r>
          </w:p>
          <w:p w:rsidR="00202B44" w:rsidRDefault="00202B44">
            <w:pPr>
              <w:rPr>
                <w:color w:val="FF0000"/>
              </w:rPr>
            </w:pPr>
          </w:p>
          <w:p w:rsidR="00202B44" w:rsidRDefault="00202B44">
            <w:pPr>
              <w:jc w:val="right"/>
              <w:rPr>
                <w:b/>
              </w:rPr>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11"/>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Identification of the issues of law to be decided by the Court</w:t>
            </w:r>
          </w:p>
          <w:p w:rsidR="00202B44" w:rsidRDefault="00202B44">
            <w:pPr>
              <w:rPr>
                <w:b/>
              </w:rPr>
            </w:pP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rPr>
          <w:trHeight w:val="411"/>
        </w:trPr>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Motions to Add Parties or to Amend Pleadings</w:t>
            </w:r>
          </w:p>
          <w:p w:rsidR="00202B44" w:rsidRDefault="00202B44">
            <w:pPr>
              <w:rPr>
                <w:b/>
              </w:rPr>
            </w:pP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739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Disclosure of Fact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3186" w:type="dxa"/>
            <w:tcBorders>
              <w:top w:val="single" w:sz="12" w:space="0" w:color="000000"/>
              <w:left w:val="single" w:sz="12" w:space="0" w:color="000000"/>
              <w:bottom w:val="single" w:sz="12" w:space="0" w:color="000000"/>
              <w:right w:val="single" w:sz="12" w:space="0" w:color="000000"/>
            </w:tcBorders>
          </w:tcPr>
          <w:p w:rsidR="00202B44" w:rsidRDefault="00202B44"/>
        </w:tc>
      </w:tr>
    </w:tbl>
    <w:p w:rsidR="00202B44" w:rsidRDefault="00202B44" w:rsidP="00202B44">
      <w:pPr>
        <w:rPr>
          <w:lang w:bidi="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86"/>
        <w:gridCol w:w="2844"/>
      </w:tblGrid>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DEADLINE OR EVENT</w:t>
            </w:r>
          </w:p>
        </w:tc>
        <w:tc>
          <w:tcPr>
            <w:tcW w:w="2898" w:type="dxa"/>
            <w:tcBorders>
              <w:top w:val="single" w:sz="12" w:space="0" w:color="000000"/>
              <w:left w:val="single" w:sz="12" w:space="0" w:color="000000"/>
              <w:bottom w:val="single" w:sz="12" w:space="0" w:color="000000"/>
              <w:right w:val="single" w:sz="12" w:space="0" w:color="000000"/>
            </w:tcBorders>
            <w:hideMark/>
          </w:tcPr>
          <w:p w:rsidR="00202B44" w:rsidRDefault="00202B44">
            <w:pPr>
              <w:jc w:val="center"/>
              <w:rPr>
                <w:b/>
                <w:i/>
              </w:rPr>
            </w:pPr>
            <w:r>
              <w:rPr>
                <w:b/>
                <w:i/>
              </w:rPr>
              <w:t>AGREED DATE</w:t>
            </w:r>
          </w:p>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Disclosure of Expert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Filing of Exhibit List</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Discovery Deadline for Fact Witnesses</w:t>
            </w:r>
          </w:p>
          <w:p w:rsidR="00202B44" w:rsidRDefault="00202B44">
            <w:r>
              <w:t>(All discovery must be commenced in time to be completed before this date)</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Expert Opinion Available to Opposing Party</w:t>
            </w:r>
          </w:p>
          <w:p w:rsidR="00202B44" w:rsidRDefault="00202B44">
            <w:r>
              <w:t>(It is recommended that last exchange occur 4 months before trial and</w:t>
            </w:r>
          </w:p>
          <w:p w:rsidR="00202B44" w:rsidRDefault="00202B44">
            <w:r>
              <w:t>1 – 2 months before discovery deadline to allow time for expert depositions.  This does not require a written report unless otherwise required by the rule.)</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Discovery Deadline for Expert Witnesses</w:t>
            </w:r>
          </w:p>
          <w:p w:rsidR="00202B44" w:rsidRDefault="00202B44">
            <w:pPr>
              <w:jc w:val="right"/>
            </w:pPr>
            <w:r>
              <w:t>Plaintiff(s):</w:t>
            </w:r>
          </w:p>
          <w:p w:rsidR="00202B44" w:rsidRDefault="00202B44">
            <w:pPr>
              <w:jc w:val="right"/>
            </w:pPr>
          </w:p>
          <w:p w:rsidR="00202B44" w:rsidRDefault="00202B44">
            <w:pPr>
              <w:jc w:val="right"/>
            </w:pPr>
            <w:r>
              <w:t>Defendant(s):</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rPr>
                <w:b/>
              </w:rPr>
            </w:pPr>
            <w:r>
              <w:rPr>
                <w:b/>
              </w:rPr>
              <w:t>Completion of Alternative Dispute Resolution (ADR)</w:t>
            </w:r>
          </w:p>
          <w:p w:rsidR="00202B44" w:rsidRDefault="00202B44">
            <w:r>
              <w:t>(Mediation is mandatory unless the parties agree to another form of ADR.)</w:t>
            </w:r>
          </w:p>
          <w:p w:rsidR="00202B44" w:rsidRDefault="00202B44">
            <w:pPr>
              <w:jc w:val="right"/>
            </w:pPr>
            <w:r>
              <w:t>Deadline:</w:t>
            </w:r>
          </w:p>
          <w:p w:rsidR="00202B44" w:rsidRDefault="00202B44">
            <w:pPr>
              <w:jc w:val="right"/>
            </w:pPr>
            <w:r>
              <w:t>Type of ADR:</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hideMark/>
          </w:tcPr>
          <w:p w:rsidR="00202B44" w:rsidRDefault="00202B44">
            <w:pPr>
              <w:rPr>
                <w:b/>
              </w:rPr>
            </w:pPr>
            <w:r>
              <w:rPr>
                <w:b/>
              </w:rPr>
              <w:t>Deadline for Filing Dispositive Motions</w:t>
            </w:r>
          </w:p>
          <w:p w:rsidR="00202B44" w:rsidRDefault="00202B44">
            <w:r>
              <w:t>(Court requires filing not later than 10 days prior to the pretrial management conference)</w:t>
            </w: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Pretrial Management Conference Date</w:t>
            </w:r>
          </w:p>
          <w:p w:rsidR="00202B44" w:rsidRDefault="00202B44"/>
        </w:tc>
        <w:tc>
          <w:tcPr>
            <w:tcW w:w="2898" w:type="dxa"/>
            <w:tcBorders>
              <w:top w:val="single" w:sz="12" w:space="0" w:color="000000"/>
              <w:left w:val="single" w:sz="12" w:space="0" w:color="000000"/>
              <w:bottom w:val="single" w:sz="12" w:space="0" w:color="000000"/>
              <w:right w:val="single" w:sz="12" w:space="0" w:color="000000"/>
            </w:tcBorders>
            <w:hideMark/>
          </w:tcPr>
          <w:p w:rsidR="00202B44" w:rsidRDefault="00202B44">
            <w:r>
              <w:t>An Order will be issued by the Court scheduling the Pretrial Management Conference.</w:t>
            </w:r>
          </w:p>
        </w:tc>
      </w:tr>
      <w:tr w:rsidR="00202B44" w:rsidTr="00202B44">
        <w:tc>
          <w:tcPr>
            <w:tcW w:w="6678" w:type="dxa"/>
            <w:tcBorders>
              <w:top w:val="single" w:sz="12" w:space="0" w:color="000000"/>
              <w:left w:val="single" w:sz="12" w:space="0" w:color="000000"/>
              <w:bottom w:val="single" w:sz="12" w:space="0" w:color="000000"/>
              <w:right w:val="single" w:sz="12" w:space="0" w:color="000000"/>
            </w:tcBorders>
          </w:tcPr>
          <w:p w:rsidR="00202B44" w:rsidRDefault="00202B44">
            <w:pPr>
              <w:rPr>
                <w:b/>
              </w:rPr>
            </w:pPr>
            <w:r>
              <w:rPr>
                <w:b/>
              </w:rPr>
              <w:t>Other Deadlines or Events</w:t>
            </w:r>
          </w:p>
          <w:p w:rsidR="00202B44" w:rsidRDefault="00202B44">
            <w:pPr>
              <w:rPr>
                <w:b/>
              </w:rPr>
            </w:pPr>
          </w:p>
          <w:p w:rsidR="00202B44" w:rsidRDefault="00202B44">
            <w:pPr>
              <w:rPr>
                <w:b/>
              </w:rPr>
            </w:pPr>
          </w:p>
          <w:p w:rsidR="00202B44" w:rsidRDefault="00202B44">
            <w:pPr>
              <w:rPr>
                <w:b/>
              </w:rPr>
            </w:pPr>
          </w:p>
          <w:p w:rsidR="00202B44" w:rsidRDefault="00202B44">
            <w:pPr>
              <w:rPr>
                <w:b/>
              </w:rPr>
            </w:pPr>
          </w:p>
        </w:tc>
        <w:tc>
          <w:tcPr>
            <w:tcW w:w="2898" w:type="dxa"/>
            <w:tcBorders>
              <w:top w:val="single" w:sz="12" w:space="0" w:color="000000"/>
              <w:left w:val="single" w:sz="12" w:space="0" w:color="000000"/>
              <w:bottom w:val="single" w:sz="12" w:space="0" w:color="000000"/>
              <w:right w:val="single" w:sz="12" w:space="0" w:color="000000"/>
            </w:tcBorders>
          </w:tcPr>
          <w:p w:rsidR="00202B44" w:rsidRDefault="00202B44"/>
        </w:tc>
      </w:tr>
    </w:tbl>
    <w:p w:rsidR="00202B44" w:rsidRDefault="00202B44" w:rsidP="00202B44">
      <w:pPr>
        <w:ind w:left="-90"/>
        <w:rPr>
          <w:b/>
          <w:sz w:val="28"/>
          <w:szCs w:val="28"/>
          <w:lang w:bidi="en-US"/>
        </w:rPr>
      </w:pPr>
    </w:p>
    <w:p w:rsidR="00202B44" w:rsidRDefault="00202B44" w:rsidP="00202B44">
      <w:r>
        <w:rPr>
          <w:b/>
          <w:sz w:val="28"/>
          <w:szCs w:val="28"/>
        </w:rPr>
        <w:t>TRIAL INFORMATION</w:t>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08"/>
        <w:gridCol w:w="2404"/>
      </w:tblGrid>
      <w:tr w:rsidR="00202B44" w:rsidTr="00202B44">
        <w:tc>
          <w:tcPr>
            <w:tcW w:w="7560" w:type="dxa"/>
            <w:tcBorders>
              <w:top w:val="single" w:sz="12" w:space="0" w:color="000000"/>
              <w:left w:val="single" w:sz="12" w:space="0" w:color="000000"/>
              <w:bottom w:val="single" w:sz="12" w:space="0" w:color="000000"/>
              <w:right w:val="single" w:sz="12" w:space="0" w:color="000000"/>
            </w:tcBorders>
            <w:hideMark/>
          </w:tcPr>
          <w:p w:rsidR="00202B44" w:rsidRDefault="00202B44">
            <w:pPr>
              <w:ind w:left="-18" w:right="504"/>
              <w:rPr>
                <w:b/>
              </w:rPr>
            </w:pPr>
            <w:r>
              <w:rPr>
                <w:b/>
              </w:rPr>
              <w:t xml:space="preserve">Estimated Date the Case Will Be Prepared To Go To Trial  </w:t>
            </w:r>
          </w:p>
          <w:p w:rsidR="00202B44" w:rsidRDefault="00202B44">
            <w:pPr>
              <w:ind w:left="-18" w:right="504"/>
              <w:rPr>
                <w:b/>
              </w:rPr>
            </w:pPr>
            <w:r>
              <w:rPr>
                <w:b/>
              </w:rPr>
              <w:t>(</w:t>
            </w:r>
            <w:r>
              <w:t>If counsel and/or unrepresented parties do not agree on the estimated date on which the case will be prepared to go to trial, the Court may on its own motion set the case for trial)</w:t>
            </w: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left="450" w:right="504"/>
              <w:rPr>
                <w:b/>
              </w:rPr>
            </w:pPr>
          </w:p>
        </w:tc>
      </w:tr>
      <w:tr w:rsidR="00202B44" w:rsidTr="00202B44">
        <w:tc>
          <w:tcPr>
            <w:tcW w:w="7560" w:type="dxa"/>
            <w:tcBorders>
              <w:top w:val="single" w:sz="12" w:space="0" w:color="000000"/>
              <w:left w:val="single" w:sz="12" w:space="0" w:color="000000"/>
              <w:bottom w:val="single" w:sz="12" w:space="0" w:color="000000"/>
              <w:right w:val="single" w:sz="12" w:space="0" w:color="000000"/>
            </w:tcBorders>
          </w:tcPr>
          <w:p w:rsidR="00202B44" w:rsidRDefault="00202B44">
            <w:pPr>
              <w:ind w:right="504"/>
            </w:pPr>
            <w:r>
              <w:rPr>
                <w:b/>
              </w:rPr>
              <w:t xml:space="preserve">Estimated Length of Trial </w:t>
            </w:r>
            <w:r>
              <w:rPr>
                <w:i/>
              </w:rPr>
              <w:t>(specify the number of trial days):</w:t>
            </w:r>
          </w:p>
          <w:p w:rsidR="00202B44" w:rsidRDefault="00202B44">
            <w:pPr>
              <w:ind w:right="504"/>
            </w:pP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p>
        </w:tc>
      </w:tr>
      <w:tr w:rsidR="00202B44" w:rsidTr="00202B44">
        <w:tc>
          <w:tcPr>
            <w:tcW w:w="756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r>
              <w:rPr>
                <w:b/>
              </w:rPr>
              <w:t>Identification of Jury or Non-Jury Trial</w:t>
            </w:r>
          </w:p>
          <w:p w:rsidR="00202B44" w:rsidRDefault="00202B44">
            <w:pPr>
              <w:ind w:right="504"/>
              <w:rPr>
                <w:b/>
              </w:rPr>
            </w:pPr>
          </w:p>
        </w:tc>
        <w:tc>
          <w:tcPr>
            <w:tcW w:w="2700" w:type="dxa"/>
            <w:tcBorders>
              <w:top w:val="single" w:sz="12" w:space="0" w:color="000000"/>
              <w:left w:val="single" w:sz="12" w:space="0" w:color="000000"/>
              <w:bottom w:val="single" w:sz="12" w:space="0" w:color="000000"/>
              <w:right w:val="single" w:sz="12" w:space="0" w:color="000000"/>
            </w:tcBorders>
          </w:tcPr>
          <w:p w:rsidR="00202B44" w:rsidRDefault="00202B44">
            <w:pPr>
              <w:ind w:right="504"/>
              <w:rPr>
                <w:b/>
              </w:rPr>
            </w:pPr>
          </w:p>
        </w:tc>
      </w:tr>
    </w:tbl>
    <w:p w:rsidR="00202B44" w:rsidRDefault="00202B44" w:rsidP="00202B44">
      <w:pPr>
        <w:spacing w:line="360" w:lineRule="auto"/>
        <w:ind w:left="-90" w:right="504"/>
        <w:jc w:val="both"/>
        <w:rPr>
          <w:lang w:bidi="en-US"/>
        </w:rPr>
      </w:pPr>
    </w:p>
    <w:p w:rsidR="00202B44" w:rsidRDefault="00202B44" w:rsidP="00202B44">
      <w:pPr>
        <w:spacing w:line="360" w:lineRule="auto"/>
        <w:ind w:left="-90" w:right="504"/>
        <w:jc w:val="both"/>
        <w:rPr>
          <w:sz w:val="22"/>
          <w:szCs w:val="22"/>
        </w:rPr>
      </w:pPr>
      <w:r>
        <w:t xml:space="preserve">The above-referenced schedule of deadlines will be strictly adhered to by the parties unless a change is otherwise agreed to by the parties </w:t>
      </w:r>
      <w:r>
        <w:rPr>
          <w:u w:val="single"/>
        </w:rPr>
        <w:t>and</w:t>
      </w:r>
      <w: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202B44" w:rsidRDefault="00202B44" w:rsidP="00202B44">
      <w:pPr>
        <w:spacing w:line="360" w:lineRule="auto"/>
        <w:ind w:left="-90" w:right="504"/>
        <w:jc w:val="both"/>
      </w:pPr>
    </w:p>
    <w:p w:rsidR="00202B44" w:rsidRDefault="00202B44" w:rsidP="00202B44">
      <w:pPr>
        <w:spacing w:line="360" w:lineRule="auto"/>
        <w:ind w:left="-90" w:right="504"/>
        <w:rPr>
          <w:i/>
        </w:rPr>
      </w:pPr>
      <w:r>
        <w:rPr>
          <w:i/>
        </w:rPr>
        <w:t>Date: ______________________</w:t>
      </w:r>
    </w:p>
    <w:p w:rsidR="00202B44" w:rsidRDefault="00202B44" w:rsidP="00202B44">
      <w:pPr>
        <w:spacing w:line="360" w:lineRule="auto"/>
        <w:ind w:left="-90" w:right="504"/>
        <w:rPr>
          <w:i/>
        </w:rPr>
      </w:pPr>
    </w:p>
    <w:p w:rsidR="00202B44" w:rsidRDefault="00202B44" w:rsidP="00202B44">
      <w:pPr>
        <w:spacing w:line="360" w:lineRule="auto"/>
        <w:ind w:left="-90" w:right="504"/>
        <w:rPr>
          <w:i/>
        </w:rPr>
      </w:pPr>
      <w:r>
        <w:rPr>
          <w:i/>
        </w:rPr>
        <w:t xml:space="preserve">Signature, address and telephone number of Counsel and Unrepresented Parties.  Counsel must state </w:t>
      </w:r>
      <w:proofErr w:type="spellStart"/>
      <w:r>
        <w:rPr>
          <w:i/>
        </w:rPr>
        <w:t>Fl</w:t>
      </w:r>
      <w:proofErr w:type="spellEnd"/>
      <w:r>
        <w:rPr>
          <w:i/>
        </w:rPr>
        <w:t xml:space="preserve"> Bar number: </w:t>
      </w:r>
    </w:p>
    <w:p w:rsidR="00202B44" w:rsidRDefault="00202B44" w:rsidP="00202B44">
      <w:pPr>
        <w:ind w:left="-90" w:right="504"/>
      </w:pPr>
      <w:r>
        <w:t>__________________________________</w:t>
      </w:r>
    </w:p>
    <w:p w:rsidR="00202B44" w:rsidRDefault="00202B44" w:rsidP="00202B44">
      <w:pPr>
        <w:ind w:left="-90" w:right="504"/>
      </w:pPr>
      <w:r>
        <w:t>__________________________________</w:t>
      </w:r>
    </w:p>
    <w:p w:rsidR="00202B44" w:rsidRDefault="00202B44" w:rsidP="00202B44">
      <w:pPr>
        <w:ind w:left="-90" w:right="504"/>
      </w:pPr>
    </w:p>
    <w:p w:rsidR="00202B44" w:rsidRDefault="00202B44" w:rsidP="00202B44">
      <w:pPr>
        <w:ind w:left="-90" w:right="504"/>
      </w:pPr>
      <w:r>
        <w:t>__________________________________</w:t>
      </w:r>
    </w:p>
    <w:p w:rsidR="00202B44" w:rsidRDefault="00202B44" w:rsidP="00202B44">
      <w:pPr>
        <w:ind w:left="-90" w:right="504"/>
      </w:pPr>
      <w:r>
        <w:t>__________________________________</w:t>
      </w:r>
    </w:p>
    <w:p w:rsidR="00202B44" w:rsidRDefault="00202B44" w:rsidP="00202B44">
      <w:pPr>
        <w:ind w:left="-90" w:right="504"/>
      </w:pPr>
    </w:p>
    <w:p w:rsidR="00202B44" w:rsidRDefault="00202B44" w:rsidP="00202B44">
      <w:pPr>
        <w:ind w:left="-90" w:right="504"/>
      </w:pPr>
      <w:r>
        <w:t>__________________________________</w:t>
      </w:r>
    </w:p>
    <w:p w:rsidR="005432FB" w:rsidRPr="00132AF2" w:rsidRDefault="00202B44" w:rsidP="00132AF2">
      <w:pPr>
        <w:ind w:left="-90" w:right="504"/>
      </w:pPr>
      <w:r>
        <w:t>__________________________________</w:t>
      </w:r>
    </w:p>
    <w:p w:rsidR="00A733E3" w:rsidRPr="00A733E3" w:rsidRDefault="00A733E3" w:rsidP="001D5E59">
      <w:pPr>
        <w:rPr>
          <w:sz w:val="22"/>
          <w:szCs w:val="22"/>
        </w:rPr>
      </w:pPr>
    </w:p>
    <w:sectPr w:rsidR="00A733E3" w:rsidRPr="00A733E3" w:rsidSect="007E1FBD">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73" w:rsidRDefault="00EA2E73">
      <w:r>
        <w:separator/>
      </w:r>
    </w:p>
  </w:endnote>
  <w:endnote w:type="continuationSeparator" w:id="0">
    <w:p w:rsidR="00EA2E73" w:rsidRDefault="00EA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49" w:rsidRDefault="00884549" w:rsidP="005D2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549" w:rsidRDefault="00884549" w:rsidP="00D26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48610"/>
      <w:docPartObj>
        <w:docPartGallery w:val="Page Numbers (Bottom of Page)"/>
        <w:docPartUnique/>
      </w:docPartObj>
    </w:sdtPr>
    <w:sdtEndPr/>
    <w:sdtContent>
      <w:p w:rsidR="00884549" w:rsidRDefault="00FC74F4">
        <w:pPr>
          <w:pStyle w:val="Footer"/>
          <w:jc w:val="center"/>
        </w:pPr>
        <w:r>
          <w:rPr>
            <w:noProof/>
          </w:rPr>
          <w:fldChar w:fldCharType="begin"/>
        </w:r>
        <w:r>
          <w:rPr>
            <w:noProof/>
          </w:rPr>
          <w:instrText xml:space="preserve"> PAGE   \* MERGEFORMAT </w:instrText>
        </w:r>
        <w:r>
          <w:rPr>
            <w:noProof/>
          </w:rPr>
          <w:fldChar w:fldCharType="separate"/>
        </w:r>
        <w:r w:rsidR="007629A1">
          <w:rPr>
            <w:noProof/>
          </w:rPr>
          <w:t>1</w:t>
        </w:r>
        <w:r>
          <w:rPr>
            <w:noProof/>
          </w:rPr>
          <w:fldChar w:fldCharType="end"/>
        </w:r>
      </w:p>
    </w:sdtContent>
  </w:sdt>
  <w:p w:rsidR="00884549" w:rsidRDefault="00884549" w:rsidP="00D264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73" w:rsidRDefault="00EA2E73">
      <w:r>
        <w:separator/>
      </w:r>
    </w:p>
  </w:footnote>
  <w:footnote w:type="continuationSeparator" w:id="0">
    <w:p w:rsidR="00EA2E73" w:rsidRDefault="00EA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E42461"/>
    <w:multiLevelType w:val="hybridMultilevel"/>
    <w:tmpl w:val="5D145950"/>
    <w:lvl w:ilvl="0" w:tplc="1C28A6EC">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A26745"/>
    <w:multiLevelType w:val="hybridMultilevel"/>
    <w:tmpl w:val="2DBAB18C"/>
    <w:lvl w:ilvl="0" w:tplc="A7FCFFF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96729C"/>
    <w:multiLevelType w:val="hybridMultilevel"/>
    <w:tmpl w:val="12AE229C"/>
    <w:lvl w:ilvl="0" w:tplc="9E4C4630">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34F5773"/>
    <w:multiLevelType w:val="hybridMultilevel"/>
    <w:tmpl w:val="3A761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C20A0"/>
    <w:multiLevelType w:val="hybridMultilevel"/>
    <w:tmpl w:val="22929FB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BC"/>
    <w:rsid w:val="0002031A"/>
    <w:rsid w:val="000261E9"/>
    <w:rsid w:val="00047CBA"/>
    <w:rsid w:val="00056089"/>
    <w:rsid w:val="000836B0"/>
    <w:rsid w:val="000A427D"/>
    <w:rsid w:val="000B2555"/>
    <w:rsid w:val="000B3D36"/>
    <w:rsid w:val="000B4735"/>
    <w:rsid w:val="000D2828"/>
    <w:rsid w:val="00106FDB"/>
    <w:rsid w:val="00123DAE"/>
    <w:rsid w:val="00132AF2"/>
    <w:rsid w:val="00151E7E"/>
    <w:rsid w:val="001629FC"/>
    <w:rsid w:val="0017754C"/>
    <w:rsid w:val="00190BAE"/>
    <w:rsid w:val="001D5E59"/>
    <w:rsid w:val="001E128A"/>
    <w:rsid w:val="001E62AA"/>
    <w:rsid w:val="001F50C4"/>
    <w:rsid w:val="00202B44"/>
    <w:rsid w:val="00213C14"/>
    <w:rsid w:val="002241AA"/>
    <w:rsid w:val="00234F8C"/>
    <w:rsid w:val="002643D6"/>
    <w:rsid w:val="00270976"/>
    <w:rsid w:val="00275E02"/>
    <w:rsid w:val="002818AC"/>
    <w:rsid w:val="002841E3"/>
    <w:rsid w:val="002A2819"/>
    <w:rsid w:val="002F704E"/>
    <w:rsid w:val="003078DE"/>
    <w:rsid w:val="00311A96"/>
    <w:rsid w:val="0034689E"/>
    <w:rsid w:val="00346C7E"/>
    <w:rsid w:val="00364F65"/>
    <w:rsid w:val="00367C9D"/>
    <w:rsid w:val="003A23B0"/>
    <w:rsid w:val="003A650E"/>
    <w:rsid w:val="003B7BE7"/>
    <w:rsid w:val="003D1D46"/>
    <w:rsid w:val="003D5872"/>
    <w:rsid w:val="003D6644"/>
    <w:rsid w:val="003E31BE"/>
    <w:rsid w:val="003E6EBC"/>
    <w:rsid w:val="003F6F12"/>
    <w:rsid w:val="00415F2D"/>
    <w:rsid w:val="00421FFC"/>
    <w:rsid w:val="00422DC6"/>
    <w:rsid w:val="004331A8"/>
    <w:rsid w:val="00440440"/>
    <w:rsid w:val="00446EB0"/>
    <w:rsid w:val="00447DF6"/>
    <w:rsid w:val="00464F37"/>
    <w:rsid w:val="00482BC0"/>
    <w:rsid w:val="00493EBB"/>
    <w:rsid w:val="004A6CD2"/>
    <w:rsid w:val="004A6D0B"/>
    <w:rsid w:val="004B5A3F"/>
    <w:rsid w:val="004C6DC5"/>
    <w:rsid w:val="004D4962"/>
    <w:rsid w:val="004E0682"/>
    <w:rsid w:val="004E1711"/>
    <w:rsid w:val="004F6F54"/>
    <w:rsid w:val="00520504"/>
    <w:rsid w:val="00523EC4"/>
    <w:rsid w:val="0053256D"/>
    <w:rsid w:val="00542DAC"/>
    <w:rsid w:val="005432FB"/>
    <w:rsid w:val="00551987"/>
    <w:rsid w:val="00556CE2"/>
    <w:rsid w:val="00563286"/>
    <w:rsid w:val="005639C9"/>
    <w:rsid w:val="005C3942"/>
    <w:rsid w:val="005D2400"/>
    <w:rsid w:val="005D2C80"/>
    <w:rsid w:val="005E69A7"/>
    <w:rsid w:val="00634562"/>
    <w:rsid w:val="00641013"/>
    <w:rsid w:val="00644EDF"/>
    <w:rsid w:val="00654696"/>
    <w:rsid w:val="00656A1B"/>
    <w:rsid w:val="00661C79"/>
    <w:rsid w:val="00671AC8"/>
    <w:rsid w:val="006878E4"/>
    <w:rsid w:val="00693A87"/>
    <w:rsid w:val="00694180"/>
    <w:rsid w:val="00697733"/>
    <w:rsid w:val="006A4E8A"/>
    <w:rsid w:val="006C40CB"/>
    <w:rsid w:val="006D6AEA"/>
    <w:rsid w:val="006F33D6"/>
    <w:rsid w:val="007108BA"/>
    <w:rsid w:val="00725684"/>
    <w:rsid w:val="00735FA3"/>
    <w:rsid w:val="00744D5F"/>
    <w:rsid w:val="007470F2"/>
    <w:rsid w:val="007629A1"/>
    <w:rsid w:val="0077063F"/>
    <w:rsid w:val="007748BB"/>
    <w:rsid w:val="00777B75"/>
    <w:rsid w:val="007A1F09"/>
    <w:rsid w:val="007A2A50"/>
    <w:rsid w:val="007A77B3"/>
    <w:rsid w:val="007B4D98"/>
    <w:rsid w:val="007B7D76"/>
    <w:rsid w:val="007D34A9"/>
    <w:rsid w:val="007D4270"/>
    <w:rsid w:val="007E14A5"/>
    <w:rsid w:val="007E1FBD"/>
    <w:rsid w:val="007E4E72"/>
    <w:rsid w:val="007E5F9D"/>
    <w:rsid w:val="007F326B"/>
    <w:rsid w:val="008004E8"/>
    <w:rsid w:val="00800CD0"/>
    <w:rsid w:val="00805CE3"/>
    <w:rsid w:val="00823636"/>
    <w:rsid w:val="00824D13"/>
    <w:rsid w:val="00833B4B"/>
    <w:rsid w:val="00845A12"/>
    <w:rsid w:val="008560C6"/>
    <w:rsid w:val="00884549"/>
    <w:rsid w:val="00892849"/>
    <w:rsid w:val="008A0A48"/>
    <w:rsid w:val="008B311B"/>
    <w:rsid w:val="008B7617"/>
    <w:rsid w:val="008F0C14"/>
    <w:rsid w:val="0090404A"/>
    <w:rsid w:val="00915955"/>
    <w:rsid w:val="00915A94"/>
    <w:rsid w:val="00920F25"/>
    <w:rsid w:val="00921BD2"/>
    <w:rsid w:val="00926202"/>
    <w:rsid w:val="00940C50"/>
    <w:rsid w:val="00944A8C"/>
    <w:rsid w:val="00962C91"/>
    <w:rsid w:val="00965144"/>
    <w:rsid w:val="00974552"/>
    <w:rsid w:val="0098051D"/>
    <w:rsid w:val="009A3476"/>
    <w:rsid w:val="009B6D6D"/>
    <w:rsid w:val="009D7F92"/>
    <w:rsid w:val="009F43F9"/>
    <w:rsid w:val="009F687D"/>
    <w:rsid w:val="00A02EC2"/>
    <w:rsid w:val="00A11A3E"/>
    <w:rsid w:val="00A155EF"/>
    <w:rsid w:val="00A2221E"/>
    <w:rsid w:val="00A460F8"/>
    <w:rsid w:val="00A603B2"/>
    <w:rsid w:val="00A652E1"/>
    <w:rsid w:val="00A733E3"/>
    <w:rsid w:val="00A84C54"/>
    <w:rsid w:val="00AA387C"/>
    <w:rsid w:val="00AB79F6"/>
    <w:rsid w:val="00AC382C"/>
    <w:rsid w:val="00B103B3"/>
    <w:rsid w:val="00B119CC"/>
    <w:rsid w:val="00B154A6"/>
    <w:rsid w:val="00B20D82"/>
    <w:rsid w:val="00B27266"/>
    <w:rsid w:val="00B310D0"/>
    <w:rsid w:val="00B50DCB"/>
    <w:rsid w:val="00B52926"/>
    <w:rsid w:val="00B65FC0"/>
    <w:rsid w:val="00B70D21"/>
    <w:rsid w:val="00B7206A"/>
    <w:rsid w:val="00B721E7"/>
    <w:rsid w:val="00BB026F"/>
    <w:rsid w:val="00BB088A"/>
    <w:rsid w:val="00BD0F7E"/>
    <w:rsid w:val="00BD4E29"/>
    <w:rsid w:val="00BD4E31"/>
    <w:rsid w:val="00BD5592"/>
    <w:rsid w:val="00BD7D8C"/>
    <w:rsid w:val="00BF530A"/>
    <w:rsid w:val="00C05FCE"/>
    <w:rsid w:val="00C25271"/>
    <w:rsid w:val="00C37A66"/>
    <w:rsid w:val="00C41727"/>
    <w:rsid w:val="00C53EF9"/>
    <w:rsid w:val="00C56BDA"/>
    <w:rsid w:val="00C62482"/>
    <w:rsid w:val="00C63FF2"/>
    <w:rsid w:val="00C754E0"/>
    <w:rsid w:val="00C843B3"/>
    <w:rsid w:val="00C85796"/>
    <w:rsid w:val="00C91CB1"/>
    <w:rsid w:val="00CA0E78"/>
    <w:rsid w:val="00CA7EAF"/>
    <w:rsid w:val="00CC767A"/>
    <w:rsid w:val="00CC7ADC"/>
    <w:rsid w:val="00CD01D5"/>
    <w:rsid w:val="00CD0E31"/>
    <w:rsid w:val="00CE69D5"/>
    <w:rsid w:val="00CE6B0B"/>
    <w:rsid w:val="00CE7734"/>
    <w:rsid w:val="00CF6D7F"/>
    <w:rsid w:val="00D007B7"/>
    <w:rsid w:val="00D15929"/>
    <w:rsid w:val="00D26443"/>
    <w:rsid w:val="00D42148"/>
    <w:rsid w:val="00D62504"/>
    <w:rsid w:val="00D75B70"/>
    <w:rsid w:val="00D845B6"/>
    <w:rsid w:val="00D86C4C"/>
    <w:rsid w:val="00DA6073"/>
    <w:rsid w:val="00DC6C87"/>
    <w:rsid w:val="00E0004C"/>
    <w:rsid w:val="00E0576E"/>
    <w:rsid w:val="00E0771C"/>
    <w:rsid w:val="00E10E33"/>
    <w:rsid w:val="00E511EE"/>
    <w:rsid w:val="00E531A6"/>
    <w:rsid w:val="00E650BE"/>
    <w:rsid w:val="00E67A78"/>
    <w:rsid w:val="00E75FAC"/>
    <w:rsid w:val="00E87D2B"/>
    <w:rsid w:val="00EA146F"/>
    <w:rsid w:val="00EA2E73"/>
    <w:rsid w:val="00EB1100"/>
    <w:rsid w:val="00EB40AA"/>
    <w:rsid w:val="00ED00A5"/>
    <w:rsid w:val="00EE345F"/>
    <w:rsid w:val="00EE6C57"/>
    <w:rsid w:val="00F04D65"/>
    <w:rsid w:val="00F131C4"/>
    <w:rsid w:val="00F13EFF"/>
    <w:rsid w:val="00F67A4B"/>
    <w:rsid w:val="00F67F35"/>
    <w:rsid w:val="00F72129"/>
    <w:rsid w:val="00F767CC"/>
    <w:rsid w:val="00F76D34"/>
    <w:rsid w:val="00F839C0"/>
    <w:rsid w:val="00F84E47"/>
    <w:rsid w:val="00F9168C"/>
    <w:rsid w:val="00F93057"/>
    <w:rsid w:val="00FA2664"/>
    <w:rsid w:val="00FA2F71"/>
    <w:rsid w:val="00FA5291"/>
    <w:rsid w:val="00FA5665"/>
    <w:rsid w:val="00FA67BC"/>
    <w:rsid w:val="00FB08CE"/>
    <w:rsid w:val="00FC74F4"/>
    <w:rsid w:val="00FD3087"/>
    <w:rsid w:val="00FD58FE"/>
    <w:rsid w:val="00FD6F22"/>
    <w:rsid w:val="00FE6EBC"/>
    <w:rsid w:val="00FF1501"/>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7285C"/>
  <w15:docId w15:val="{95FA0F20-AD12-4D8F-9145-0236044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BD"/>
    <w:pPr>
      <w:widowControl w:val="0"/>
      <w:autoSpaceDE w:val="0"/>
      <w:autoSpaceDN w:val="0"/>
      <w:adjustRightInd w:val="0"/>
    </w:pPr>
    <w:rPr>
      <w:sz w:val="24"/>
      <w:szCs w:val="24"/>
    </w:rPr>
  </w:style>
  <w:style w:type="paragraph" w:styleId="Heading1">
    <w:name w:val="heading 1"/>
    <w:basedOn w:val="Normal"/>
    <w:next w:val="Normal"/>
    <w:qFormat/>
    <w:rsid w:val="007E1FBD"/>
    <w:pPr>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1FBD"/>
  </w:style>
  <w:style w:type="paragraph" w:styleId="BodyText">
    <w:name w:val="Body Text"/>
    <w:basedOn w:val="Normal"/>
    <w:link w:val="BodyTextChar"/>
    <w:rsid w:val="007E1FBD"/>
    <w:pPr>
      <w:jc w:val="both"/>
    </w:pPr>
    <w:rPr>
      <w:rFonts w:ascii="Arial" w:hAnsi="Arial" w:cs="Arial"/>
      <w:sz w:val="20"/>
      <w:szCs w:val="20"/>
    </w:rPr>
  </w:style>
  <w:style w:type="character" w:customStyle="1" w:styleId="Quicka">
    <w:name w:val="Quick a."/>
    <w:rsid w:val="007E1FBD"/>
  </w:style>
  <w:style w:type="paragraph" w:customStyle="1" w:styleId="level1">
    <w:name w:val="_level1"/>
    <w:basedOn w:val="Normal"/>
    <w:rsid w:val="007E1FBD"/>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2160" w:hanging="720"/>
      <w:outlineLvl w:val="0"/>
    </w:pPr>
  </w:style>
  <w:style w:type="paragraph" w:styleId="Header">
    <w:name w:val="header"/>
    <w:basedOn w:val="Normal"/>
    <w:rsid w:val="007E1FBD"/>
    <w:pPr>
      <w:tabs>
        <w:tab w:val="center" w:pos="4320"/>
        <w:tab w:val="right" w:pos="8640"/>
      </w:tabs>
    </w:pPr>
  </w:style>
  <w:style w:type="paragraph" w:styleId="Footer">
    <w:name w:val="footer"/>
    <w:basedOn w:val="Normal"/>
    <w:link w:val="FooterChar"/>
    <w:uiPriority w:val="99"/>
    <w:rsid w:val="007E1FBD"/>
    <w:pPr>
      <w:tabs>
        <w:tab w:val="center" w:pos="4320"/>
        <w:tab w:val="right" w:pos="8640"/>
      </w:tabs>
    </w:pPr>
  </w:style>
  <w:style w:type="character" w:styleId="PageNumber">
    <w:name w:val="page number"/>
    <w:basedOn w:val="DefaultParagraphFont"/>
    <w:rsid w:val="00D26443"/>
  </w:style>
  <w:style w:type="character" w:customStyle="1" w:styleId="FooterChar">
    <w:name w:val="Footer Char"/>
    <w:link w:val="Footer"/>
    <w:uiPriority w:val="99"/>
    <w:rsid w:val="00520504"/>
    <w:rPr>
      <w:sz w:val="24"/>
      <w:szCs w:val="24"/>
    </w:rPr>
  </w:style>
  <w:style w:type="character" w:styleId="CommentReference">
    <w:name w:val="annotation reference"/>
    <w:rsid w:val="00A2221E"/>
    <w:rPr>
      <w:sz w:val="16"/>
      <w:szCs w:val="16"/>
    </w:rPr>
  </w:style>
  <w:style w:type="paragraph" w:styleId="CommentText">
    <w:name w:val="annotation text"/>
    <w:basedOn w:val="Normal"/>
    <w:link w:val="CommentTextChar"/>
    <w:rsid w:val="00A2221E"/>
    <w:rPr>
      <w:sz w:val="20"/>
      <w:szCs w:val="20"/>
    </w:rPr>
  </w:style>
  <w:style w:type="character" w:customStyle="1" w:styleId="CommentTextChar">
    <w:name w:val="Comment Text Char"/>
    <w:basedOn w:val="DefaultParagraphFont"/>
    <w:link w:val="CommentText"/>
    <w:rsid w:val="00A2221E"/>
  </w:style>
  <w:style w:type="paragraph" w:styleId="CommentSubject">
    <w:name w:val="annotation subject"/>
    <w:basedOn w:val="CommentText"/>
    <w:next w:val="CommentText"/>
    <w:link w:val="CommentSubjectChar"/>
    <w:rsid w:val="00A2221E"/>
    <w:rPr>
      <w:b/>
      <w:bCs/>
    </w:rPr>
  </w:style>
  <w:style w:type="character" w:customStyle="1" w:styleId="CommentSubjectChar">
    <w:name w:val="Comment Subject Char"/>
    <w:link w:val="CommentSubject"/>
    <w:rsid w:val="00A2221E"/>
    <w:rPr>
      <w:b/>
      <w:bCs/>
    </w:rPr>
  </w:style>
  <w:style w:type="paragraph" w:styleId="BalloonText">
    <w:name w:val="Balloon Text"/>
    <w:basedOn w:val="Normal"/>
    <w:link w:val="BalloonTextChar"/>
    <w:rsid w:val="00A2221E"/>
    <w:rPr>
      <w:rFonts w:ascii="Tahoma" w:hAnsi="Tahoma" w:cs="Tahoma"/>
      <w:sz w:val="16"/>
      <w:szCs w:val="16"/>
    </w:rPr>
  </w:style>
  <w:style w:type="character" w:customStyle="1" w:styleId="BalloonTextChar">
    <w:name w:val="Balloon Text Char"/>
    <w:link w:val="BalloonText"/>
    <w:rsid w:val="00A2221E"/>
    <w:rPr>
      <w:rFonts w:ascii="Tahoma" w:hAnsi="Tahoma" w:cs="Tahoma"/>
      <w:sz w:val="16"/>
      <w:szCs w:val="16"/>
    </w:rPr>
  </w:style>
  <w:style w:type="character" w:styleId="PlaceholderText">
    <w:name w:val="Placeholder Text"/>
    <w:basedOn w:val="DefaultParagraphFont"/>
    <w:uiPriority w:val="99"/>
    <w:semiHidden/>
    <w:rsid w:val="00A603B2"/>
    <w:rPr>
      <w:color w:val="808080"/>
    </w:rPr>
  </w:style>
  <w:style w:type="table" w:styleId="TableGrid">
    <w:name w:val="Table Grid"/>
    <w:basedOn w:val="TableNormal"/>
    <w:uiPriority w:val="59"/>
    <w:rsid w:val="00E0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8CE"/>
    <w:pPr>
      <w:ind w:left="720"/>
      <w:contextualSpacing/>
    </w:pPr>
  </w:style>
  <w:style w:type="character" w:customStyle="1" w:styleId="BodyTextChar">
    <w:name w:val="Body Text Char"/>
    <w:basedOn w:val="DefaultParagraphFont"/>
    <w:link w:val="BodyText"/>
    <w:rsid w:val="00464F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6963">
      <w:bodyDiv w:val="1"/>
      <w:marLeft w:val="0"/>
      <w:marRight w:val="0"/>
      <w:marTop w:val="0"/>
      <w:marBottom w:val="0"/>
      <w:divBdr>
        <w:top w:val="none" w:sz="0" w:space="0" w:color="auto"/>
        <w:left w:val="none" w:sz="0" w:space="0" w:color="auto"/>
        <w:bottom w:val="none" w:sz="0" w:space="0" w:color="auto"/>
        <w:right w:val="none" w:sz="0" w:space="0" w:color="auto"/>
      </w:divBdr>
    </w:div>
    <w:div w:id="260993217">
      <w:bodyDiv w:val="1"/>
      <w:marLeft w:val="0"/>
      <w:marRight w:val="0"/>
      <w:marTop w:val="0"/>
      <w:marBottom w:val="0"/>
      <w:divBdr>
        <w:top w:val="none" w:sz="0" w:space="0" w:color="auto"/>
        <w:left w:val="none" w:sz="0" w:space="0" w:color="auto"/>
        <w:bottom w:val="none" w:sz="0" w:space="0" w:color="auto"/>
        <w:right w:val="none" w:sz="0" w:space="0" w:color="auto"/>
      </w:divBdr>
    </w:div>
    <w:div w:id="435908168">
      <w:bodyDiv w:val="1"/>
      <w:marLeft w:val="0"/>
      <w:marRight w:val="0"/>
      <w:marTop w:val="0"/>
      <w:marBottom w:val="0"/>
      <w:divBdr>
        <w:top w:val="none" w:sz="0" w:space="0" w:color="auto"/>
        <w:left w:val="none" w:sz="0" w:space="0" w:color="auto"/>
        <w:bottom w:val="none" w:sz="0" w:space="0" w:color="auto"/>
        <w:right w:val="none" w:sz="0" w:space="0" w:color="auto"/>
      </w:divBdr>
    </w:div>
    <w:div w:id="605233861">
      <w:bodyDiv w:val="1"/>
      <w:marLeft w:val="0"/>
      <w:marRight w:val="0"/>
      <w:marTop w:val="0"/>
      <w:marBottom w:val="0"/>
      <w:divBdr>
        <w:top w:val="none" w:sz="0" w:space="0" w:color="auto"/>
        <w:left w:val="none" w:sz="0" w:space="0" w:color="auto"/>
        <w:bottom w:val="none" w:sz="0" w:space="0" w:color="auto"/>
        <w:right w:val="none" w:sz="0" w:space="0" w:color="auto"/>
      </w:divBdr>
    </w:div>
    <w:div w:id="959796216">
      <w:bodyDiv w:val="1"/>
      <w:marLeft w:val="0"/>
      <w:marRight w:val="0"/>
      <w:marTop w:val="0"/>
      <w:marBottom w:val="0"/>
      <w:divBdr>
        <w:top w:val="none" w:sz="0" w:space="0" w:color="auto"/>
        <w:left w:val="none" w:sz="0" w:space="0" w:color="auto"/>
        <w:bottom w:val="none" w:sz="0" w:space="0" w:color="auto"/>
        <w:right w:val="none" w:sz="0" w:space="0" w:color="auto"/>
      </w:divBdr>
    </w:div>
    <w:div w:id="961377168">
      <w:bodyDiv w:val="1"/>
      <w:marLeft w:val="0"/>
      <w:marRight w:val="0"/>
      <w:marTop w:val="0"/>
      <w:marBottom w:val="0"/>
      <w:divBdr>
        <w:top w:val="none" w:sz="0" w:space="0" w:color="auto"/>
        <w:left w:val="none" w:sz="0" w:space="0" w:color="auto"/>
        <w:bottom w:val="none" w:sz="0" w:space="0" w:color="auto"/>
        <w:right w:val="none" w:sz="0" w:space="0" w:color="auto"/>
      </w:divBdr>
    </w:div>
    <w:div w:id="1082793667">
      <w:bodyDiv w:val="1"/>
      <w:marLeft w:val="0"/>
      <w:marRight w:val="0"/>
      <w:marTop w:val="0"/>
      <w:marBottom w:val="0"/>
      <w:divBdr>
        <w:top w:val="none" w:sz="0" w:space="0" w:color="auto"/>
        <w:left w:val="none" w:sz="0" w:space="0" w:color="auto"/>
        <w:bottom w:val="none" w:sz="0" w:space="0" w:color="auto"/>
        <w:right w:val="none" w:sz="0" w:space="0" w:color="auto"/>
      </w:divBdr>
    </w:div>
    <w:div w:id="1759936217">
      <w:bodyDiv w:val="1"/>
      <w:marLeft w:val="0"/>
      <w:marRight w:val="0"/>
      <w:marTop w:val="0"/>
      <w:marBottom w:val="0"/>
      <w:divBdr>
        <w:top w:val="none" w:sz="0" w:space="0" w:color="auto"/>
        <w:left w:val="none" w:sz="0" w:space="0" w:color="auto"/>
        <w:bottom w:val="none" w:sz="0" w:space="0" w:color="auto"/>
        <w:right w:val="none" w:sz="0" w:space="0" w:color="auto"/>
      </w:divBdr>
    </w:div>
    <w:div w:id="19758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 THE CIRCUIT COURT OF THE TWENTIETH JUDICIAL CIRCUIT IN AND FOR HENDRY COUNTY, FLORIDA</vt:lpstr>
    </vt:vector>
  </TitlesOfParts>
  <Company>20h Judicial Court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 IN AND FOR HENDRY COUNTY, FLORIDA</dc:title>
  <dc:subject/>
  <dc:creator>TilenaG</dc:creator>
  <cp:keywords/>
  <dc:description/>
  <cp:lastModifiedBy>Anderson, Shandy</cp:lastModifiedBy>
  <cp:revision>2</cp:revision>
  <cp:lastPrinted>2016-07-05T19:13:00Z</cp:lastPrinted>
  <dcterms:created xsi:type="dcterms:W3CDTF">2020-07-30T17:52:00Z</dcterms:created>
  <dcterms:modified xsi:type="dcterms:W3CDTF">2020-07-30T17:52:00Z</dcterms:modified>
</cp:coreProperties>
</file>